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F" w:rsidRPr="005B62B6"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5B62B6">
        <w:rPr>
          <w:rFonts w:hint="eastAsia"/>
        </w:rPr>
        <w:t>糾正案文</w:t>
      </w:r>
    </w:p>
    <w:p w:rsidR="001601AF" w:rsidRPr="005B62B6" w:rsidRDefault="001601AF" w:rsidP="001601AF">
      <w:pPr>
        <w:pStyle w:val="1"/>
        <w:kinsoku/>
        <w:ind w:left="2722" w:hanging="2722"/>
      </w:pPr>
      <w:r w:rsidRPr="005B62B6">
        <w:rPr>
          <w:rFonts w:hint="eastAsia"/>
        </w:rPr>
        <w:t>被糾正機關：</w:t>
      </w:r>
      <w:r w:rsidRPr="005B62B6">
        <w:rPr>
          <w:rFonts w:hAnsi="標楷體" w:hint="eastAsia"/>
        </w:rPr>
        <w:t>內政部</w:t>
      </w:r>
      <w:r w:rsidRPr="005B62B6">
        <w:rPr>
          <w:rFonts w:hint="eastAsia"/>
        </w:rPr>
        <w:t>。</w:t>
      </w:r>
    </w:p>
    <w:p w:rsidR="001601AF" w:rsidRPr="005B62B6" w:rsidRDefault="001601AF" w:rsidP="001601AF">
      <w:pPr>
        <w:pStyle w:val="1"/>
        <w:kinsoku/>
        <w:ind w:left="2722" w:hanging="2722"/>
      </w:pPr>
      <w:r w:rsidRPr="005B62B6">
        <w:rPr>
          <w:rFonts w:hint="eastAsia"/>
        </w:rPr>
        <w:t>案　　　由：內政部所屬營建署自921大地震迄今近20年，對於現有建築物相關資料仍未能建置一套完善系統加以列管，統計資料多有闕漏，導致政府目前無法確實掌握建築物現況，則相關防災政策即無法順利推動；且該部營建署迄至106年始補助地方政府執行「大樓建照快篩作業」，作為太過消極自無法確保舊有建築物的耐震安全，所預計於3年內(至109年)完成在88年12月31日以前興建、6樓以上之鋼筋混凝土建築物之快篩作業，完成建築物快篩數量占88年12月前之執照數，竟僅有0.5%左右，進度明顯遲緩，顯未確實列管並督導各地方政府依進程辦理，均有怠失</w:t>
      </w:r>
      <w:r w:rsidRPr="005B62B6">
        <w:rPr>
          <w:rFonts w:hAnsi="標楷體" w:hint="eastAsia"/>
        </w:rPr>
        <w:t>，</w:t>
      </w:r>
      <w:r w:rsidRPr="005B62B6">
        <w:rPr>
          <w:rFonts w:hint="eastAsia"/>
        </w:rPr>
        <w:t>爰依法提案糾正。</w:t>
      </w:r>
    </w:p>
    <w:p w:rsidR="001601AF" w:rsidRPr="005B62B6" w:rsidRDefault="001601AF" w:rsidP="001601AF">
      <w:pPr>
        <w:pStyle w:val="1"/>
        <w:kinsoku/>
        <w:ind w:left="2722" w:hanging="2722"/>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5B62B6">
        <w:rPr>
          <w:rFonts w:hint="eastAsia"/>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601AF" w:rsidRPr="005B62B6" w:rsidRDefault="001601AF" w:rsidP="00665A7E">
      <w:pPr>
        <w:pStyle w:val="10"/>
        <w:ind w:left="680" w:firstLine="688"/>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5B62B6">
        <w:rPr>
          <w:rFonts w:hint="eastAsia"/>
          <w:spacing w:val="2"/>
        </w:rPr>
        <w:t>民國(下同)</w:t>
      </w:r>
      <w:r w:rsidRPr="005B62B6">
        <w:rPr>
          <w:rFonts w:hint="eastAsia"/>
        </w:rPr>
        <w:t>107年2月6日晚上11點50分花蓮地區發生芮氏規模6.0的強震，造成花蓮</w:t>
      </w:r>
      <w:r w:rsidR="004B0202" w:rsidRPr="004B0202">
        <w:rPr>
          <w:rFonts w:hint="eastAsia"/>
        </w:rPr>
        <w:t>縣</w:t>
      </w:r>
      <w:r w:rsidRPr="005B62B6">
        <w:rPr>
          <w:rFonts w:hint="eastAsia"/>
        </w:rPr>
        <w:t>多棟大樓倒塌，民眾死傷嚴重。臺灣位處環太平洋地震帶，地震頻仍，政府相關部門對於既有建築物，尤其是921地震前之既有建築物之耐震評估補強，在制度面與執行面有無全面輔導管理？對於具高使用強度、高容留人數特性之供公眾使用建築物</w:t>
      </w:r>
      <w:r w:rsidRPr="005B62B6">
        <w:rPr>
          <w:rStyle w:val="afe"/>
        </w:rPr>
        <w:footnoteReference w:id="1"/>
      </w:r>
      <w:r w:rsidRPr="005B62B6">
        <w:rPr>
          <w:rFonts w:hint="eastAsia"/>
        </w:rPr>
        <w:t>，政府所採之耐震改善對策，在法制面能否落實</w:t>
      </w:r>
      <w:r w:rsidRPr="005B62B6">
        <w:rPr>
          <w:rFonts w:hint="eastAsia"/>
        </w:rPr>
        <w:lastRenderedPageBreak/>
        <w:t>，以加強保障民眾居住安全？均有深入調查之必要。</w:t>
      </w:r>
      <w:r w:rsidRPr="005B62B6">
        <w:rPr>
          <w:rFonts w:hint="eastAsia"/>
          <w:spacing w:val="2"/>
        </w:rPr>
        <w:t>本案經函請內政部營建署(下稱營建署)、</w:t>
      </w:r>
      <w:r w:rsidRPr="005B62B6">
        <w:rPr>
          <w:rFonts w:hint="eastAsia"/>
        </w:rPr>
        <w:t>經濟部中央地質調查所(下稱地調所)</w:t>
      </w:r>
      <w:r w:rsidRPr="005B62B6">
        <w:rPr>
          <w:rFonts w:hint="eastAsia"/>
          <w:spacing w:val="2"/>
        </w:rPr>
        <w:t>就有關事項查復併附佐證資料到院，嗣於107年5月16日諮詢3位專家學者，於107年5月28日詢問內政部政務次長花敬群及營建署主任秘書陳貞蓉、地調所代理所長曹恕中等相關人員，復經營建署陸續補充書面說明及佐證資料到院</w:t>
      </w:r>
      <w:r w:rsidRPr="005B62B6">
        <w:rPr>
          <w:rStyle w:val="afe"/>
          <w:spacing w:val="2"/>
        </w:rPr>
        <w:footnoteReference w:id="2"/>
      </w:r>
      <w:r w:rsidRPr="005B62B6">
        <w:rPr>
          <w:rFonts w:hint="eastAsia"/>
          <w:spacing w:val="2"/>
        </w:rPr>
        <w:t>，</w:t>
      </w:r>
      <w:r w:rsidR="00665A7E" w:rsidRPr="005B62B6">
        <w:rPr>
          <w:rFonts w:hint="eastAsia"/>
          <w:spacing w:val="2"/>
        </w:rPr>
        <w:t>調查發現</w:t>
      </w:r>
      <w:r w:rsidRPr="005B62B6">
        <w:rPr>
          <w:rFonts w:hint="eastAsia"/>
        </w:rPr>
        <w:t>內政部所屬營建署自921大地震迄今近20年，對於現有建築物相關資料統計資料多有闕漏，且迄至106年始補助地方政府執行「大樓建照快篩作業」，作為太過消極，所完成建築物快篩數量占88年12月前之執照數，竟僅有0.5%左右，進度明顯遲緩等</w:t>
      </w:r>
      <w:r w:rsidR="00665A7E" w:rsidRPr="005B62B6">
        <w:rPr>
          <w:rFonts w:hint="eastAsia"/>
        </w:rPr>
        <w:t>情，</w:t>
      </w:r>
      <w:r w:rsidRPr="005B62B6">
        <w:rPr>
          <w:rFonts w:hint="eastAsia"/>
        </w:rPr>
        <w:t>均有怠失</w:t>
      </w:r>
      <w:r w:rsidRPr="005B62B6">
        <w:rPr>
          <w:rFonts w:hAnsi="標楷體" w:hint="eastAsia"/>
        </w:rPr>
        <w:t>，</w:t>
      </w:r>
      <w:r w:rsidRPr="005B62B6">
        <w:rPr>
          <w:rFonts w:hint="eastAsia"/>
          <w:bCs/>
        </w:rPr>
        <w:t>應予糾正促其注意改善。茲臚列事實與理由如下</w:t>
      </w:r>
      <w:r w:rsidRPr="005B62B6">
        <w:rPr>
          <w:rFonts w:hAnsi="標楷體" w:hint="eastAsia"/>
          <w:spacing w:val="-6"/>
        </w:rPr>
        <w:t>：</w:t>
      </w:r>
    </w:p>
    <w:p w:rsidR="005B62B6" w:rsidRPr="005B62B6" w:rsidRDefault="005B62B6" w:rsidP="005B62B6">
      <w:pPr>
        <w:pStyle w:val="2"/>
        <w:rPr>
          <w:b/>
        </w:rPr>
      </w:pPr>
      <w:r w:rsidRPr="005B62B6">
        <w:rPr>
          <w:rFonts w:hint="eastAsia"/>
          <w:b/>
        </w:rPr>
        <w:t>自88年我國發生921大地震迄今，已將近20年，依據內政部不動產資訊平台106</w:t>
      </w:r>
      <w:r w:rsidRPr="005B62B6">
        <w:rPr>
          <w:rFonts w:hint="eastAsia"/>
          <w:b/>
          <w:lang w:eastAsia="zh-HK"/>
        </w:rPr>
        <w:t>年資料</w:t>
      </w:r>
      <w:r w:rsidRPr="005B62B6">
        <w:rPr>
          <w:rFonts w:hint="eastAsia"/>
          <w:b/>
        </w:rPr>
        <w:t>，</w:t>
      </w:r>
      <w:r w:rsidRPr="005B62B6">
        <w:rPr>
          <w:rFonts w:hint="eastAsia"/>
          <w:b/>
          <w:lang w:eastAsia="zh-HK"/>
        </w:rPr>
        <w:t>88年以前之住宅類房屋稅籍數量為621萬7,260戶，約</w:t>
      </w:r>
      <w:r w:rsidRPr="005B62B6">
        <w:rPr>
          <w:rFonts w:hint="eastAsia"/>
          <w:b/>
        </w:rPr>
        <w:t>占全國住宅類房屋稅籍</w:t>
      </w:r>
      <w:r w:rsidRPr="005B62B6">
        <w:rPr>
          <w:rFonts w:hint="eastAsia"/>
          <w:b/>
          <w:lang w:eastAsia="zh-HK"/>
        </w:rPr>
        <w:t>72.8%，但</w:t>
      </w:r>
      <w:r w:rsidRPr="005B62B6">
        <w:rPr>
          <w:rFonts w:hint="eastAsia"/>
          <w:b/>
        </w:rPr>
        <w:t>內政部營建署對於現有建築物之相關資料(例如建造年度、使用類型、棟戶數等等)仍未能建置一套完善系統加以列管，故統計資料多有闕漏，導致政府目前無法確實掌握建築物現況，則相關防災政策即無法順利推動。內政部營建署就相關資料蒐集彙整之行政作為有欠積極，核有怠失。</w:t>
      </w:r>
    </w:p>
    <w:p w:rsidR="005B62B6" w:rsidRPr="005B62B6" w:rsidRDefault="005B62B6" w:rsidP="005B62B6">
      <w:pPr>
        <w:pStyle w:val="3"/>
      </w:pPr>
      <w:r w:rsidRPr="005B62B6">
        <w:rPr>
          <w:rFonts w:hint="eastAsia"/>
        </w:rPr>
        <w:t>按88年我國發生921大地震，其後105年2月6日發生高雄美濃地震，至107年2月6日晚上11點50分花蓮地區發生芮氏規模6.0的強震，均造成嚴重傷亡。</w:t>
      </w:r>
      <w:r w:rsidRPr="005B62B6">
        <w:rPr>
          <w:rFonts w:hint="eastAsia"/>
        </w:rPr>
        <w:lastRenderedPageBreak/>
        <w:t>而我國建築物耐震設計相關規定(建築技術規則建築構造編及建築物耐震設計規範及解說)於88年921大地震後已有重大修正，94年及100年並因應最新耐震研究成果與國內地質調查資料再予修正並實施</w:t>
      </w:r>
      <w:r w:rsidRPr="005B62B6">
        <w:rPr>
          <w:rStyle w:val="afe"/>
        </w:rPr>
        <w:footnoteReference w:id="3"/>
      </w:r>
      <w:r w:rsidRPr="005B62B6">
        <w:rPr>
          <w:rFonts w:hint="eastAsia"/>
        </w:rPr>
        <w:t>。另據內政部不動產資訊平台106</w:t>
      </w:r>
      <w:r w:rsidRPr="005B62B6">
        <w:rPr>
          <w:rFonts w:hint="eastAsia"/>
          <w:lang w:eastAsia="zh-HK"/>
        </w:rPr>
        <w:t>年第4季房屋稅籍住宅類數量依屋齡區分之資料</w:t>
      </w:r>
      <w:r w:rsidRPr="005B62B6">
        <w:rPr>
          <w:rFonts w:hint="eastAsia"/>
        </w:rPr>
        <w:t>，</w:t>
      </w:r>
      <w:r w:rsidRPr="005B62B6">
        <w:rPr>
          <w:rFonts w:hint="eastAsia"/>
          <w:lang w:eastAsia="zh-HK"/>
        </w:rPr>
        <w:t>全國之房屋稅籍住宅類數量為854</w:t>
      </w:r>
      <w:r w:rsidRPr="005B62B6">
        <w:rPr>
          <w:rFonts w:hint="eastAsia"/>
        </w:rPr>
        <w:t>萬</w:t>
      </w:r>
      <w:r w:rsidRPr="005B62B6">
        <w:rPr>
          <w:rFonts w:hint="eastAsia"/>
          <w:lang w:eastAsia="zh-HK"/>
        </w:rPr>
        <w:t>1</w:t>
      </w:r>
      <w:r w:rsidRPr="005B62B6">
        <w:rPr>
          <w:rFonts w:hint="eastAsia"/>
        </w:rPr>
        <w:t>,</w:t>
      </w:r>
      <w:r w:rsidRPr="005B62B6">
        <w:rPr>
          <w:rFonts w:hint="eastAsia"/>
          <w:lang w:eastAsia="zh-HK"/>
        </w:rPr>
        <w:t>771戶，若以88年以前住宅為統計基準之房屋稅籍住宅類數量為621萬7,260戶，約</w:t>
      </w:r>
      <w:r w:rsidRPr="005B62B6">
        <w:rPr>
          <w:rFonts w:hint="eastAsia"/>
        </w:rPr>
        <w:t>占</w:t>
      </w:r>
      <w:r w:rsidRPr="005B62B6">
        <w:rPr>
          <w:rFonts w:hint="eastAsia"/>
          <w:lang w:eastAsia="zh-HK"/>
        </w:rPr>
        <w:t>72.8%</w:t>
      </w:r>
      <w:r w:rsidRPr="005B62B6">
        <w:rPr>
          <w:rFonts w:hint="eastAsia"/>
        </w:rPr>
        <w:t>。可見88年建築物耐震設計規定修正前建造之老舊住宅類建築物，占現有住宅總數仍高達7成以上，其他類別建築物則無相關資料，而88年以前之建築物耐震規定可耐之地震力較低，該等建築物之耐震能力堪慮。</w:t>
      </w:r>
    </w:p>
    <w:p w:rsidR="005B62B6" w:rsidRPr="005B62B6" w:rsidRDefault="005B62B6" w:rsidP="005B62B6">
      <w:pPr>
        <w:pStyle w:val="3"/>
      </w:pPr>
      <w:r w:rsidRPr="005B62B6">
        <w:rPr>
          <w:rFonts w:hint="eastAsia"/>
        </w:rPr>
        <w:t>107年2月6日發生花蓮強震後，本院於同年3月28日函請營建署提供有關</w:t>
      </w:r>
      <w:r w:rsidRPr="005B62B6">
        <w:rPr>
          <w:rFonts w:hAnsi="標楷體" w:hint="eastAsia"/>
        </w:rPr>
        <w:t>各直轄市、縣(市)</w:t>
      </w:r>
      <w:r w:rsidRPr="005B62B6">
        <w:rPr>
          <w:rFonts w:hint="eastAsia"/>
        </w:rPr>
        <w:t>「現有建築物適用各耐震設計規定之棟(戶)數」、「現有供公眾使用及非供公眾使用建築物棟(戶)數」、「現有供公</w:t>
      </w:r>
      <w:r w:rsidRPr="005B62B6">
        <w:rPr>
          <w:rFonts w:hint="eastAsia"/>
        </w:rPr>
        <w:lastRenderedPageBreak/>
        <w:t>眾使用及非供公眾使用建築物屋齡逾30年之棟(戶)數」、「現有供公眾使用及非供公眾使用建築物因921及331地震列管使照之棟(戶)數」、「現有供公眾使用及非供公眾使用建築物公告列管之海砂屋棟(戶)數」、「現有供公眾使用及非供公眾使用建築物因輻射屋需拆除建物之棟(戶)數」、「對於位處活動斷層兩側之既有建築物之評估、列管、補強或拆除重建之辦理情形」、「對於重要救災動線兩側之建築物評估、列管及補強之辦理情形」、「辦理建築物快篩及後續處理」等統計資料(如附表一至附表九)，惟營建署同年5月21日函復本院之統計資料多有闕漏。內政部於本院詢問時表示，營建署所復之統計數據係函請各直轄市、縣(市)政府提供，部分縣市政府舊有資料回溯不完整及時間受限，致資料不完全等語。營建署並於本院詢問後，再於同年6月21日函請各地方政府更新統計資料，並於同年10月1日函送本院，惟查該等統計資料仍多有闕漏。</w:t>
      </w:r>
    </w:p>
    <w:p w:rsidR="005B62B6" w:rsidRPr="005B62B6" w:rsidRDefault="005B62B6" w:rsidP="005B62B6">
      <w:pPr>
        <w:pStyle w:val="3"/>
      </w:pPr>
      <w:r w:rsidRPr="005B62B6">
        <w:rPr>
          <w:rFonts w:hint="eastAsia"/>
        </w:rPr>
        <w:t>經查，營建署所復之統計及附註說明資料如下</w:t>
      </w:r>
      <w:r w:rsidRPr="005B62B6">
        <w:rPr>
          <w:rFonts w:hAnsi="標楷體" w:hint="eastAsia"/>
        </w:rPr>
        <w:t>：</w:t>
      </w:r>
    </w:p>
    <w:p w:rsidR="005B62B6" w:rsidRPr="005B62B6" w:rsidRDefault="005B62B6" w:rsidP="005B62B6">
      <w:pPr>
        <w:pStyle w:val="4"/>
      </w:pPr>
      <w:r w:rsidRPr="005B62B6">
        <w:rPr>
          <w:rFonts w:hint="eastAsia"/>
        </w:rPr>
        <w:t>有關「</w:t>
      </w:r>
      <w:r w:rsidRPr="005B62B6">
        <w:rPr>
          <w:rFonts w:hAnsi="標楷體" w:hint="eastAsia"/>
        </w:rPr>
        <w:t>各直轄市、縣(市)</w:t>
      </w:r>
      <w:r w:rsidRPr="005B62B6">
        <w:rPr>
          <w:rFonts w:hint="eastAsia"/>
        </w:rPr>
        <w:t>現有建築物適用各耐震設計規定之棟(戶)數」</w:t>
      </w:r>
      <w:r w:rsidRPr="005B62B6">
        <w:rPr>
          <w:rFonts w:hAnsi="標楷體" w:hint="eastAsia"/>
        </w:rPr>
        <w:t>：</w:t>
      </w:r>
      <w:r w:rsidRPr="005B62B6">
        <w:rPr>
          <w:rFonts w:hint="eastAsia"/>
        </w:rPr>
        <w:t>(附表一)</w:t>
      </w:r>
    </w:p>
    <w:p w:rsidR="005B62B6" w:rsidRPr="005B62B6" w:rsidRDefault="005B62B6" w:rsidP="005B62B6">
      <w:pPr>
        <w:pStyle w:val="5"/>
      </w:pPr>
      <w:r w:rsidRPr="005B62B6">
        <w:rPr>
          <w:rFonts w:hint="eastAsia"/>
        </w:rPr>
        <w:t>由附表一統計資料可見，88年12月29日建築物耐震設計規範及解說修正前各</w:t>
      </w:r>
      <w:r w:rsidRPr="005B62B6">
        <w:rPr>
          <w:rFonts w:hAnsi="標楷體" w:hint="eastAsia"/>
        </w:rPr>
        <w:t>直轄市、縣(市)所</w:t>
      </w:r>
      <w:r w:rsidRPr="005B62B6">
        <w:rPr>
          <w:rFonts w:hint="eastAsia"/>
        </w:rPr>
        <w:t>核發之執照數約為152萬9</w:t>
      </w:r>
      <w:r w:rsidRPr="005B62B6">
        <w:t>,</w:t>
      </w:r>
      <w:r w:rsidRPr="005B62B6">
        <w:rPr>
          <w:rFonts w:hint="eastAsia"/>
        </w:rPr>
        <w:t>600件(註</w:t>
      </w:r>
      <w:r w:rsidRPr="005B62B6">
        <w:rPr>
          <w:rFonts w:hAnsi="標楷體" w:hint="eastAsia"/>
        </w:rPr>
        <w:t>：</w:t>
      </w:r>
      <w:r w:rsidRPr="005B62B6">
        <w:rPr>
          <w:rFonts w:hint="eastAsia"/>
        </w:rPr>
        <w:t>桃園市係以年度區分，統計日期為88年12月31日；苗栗縣71~91年間有諸多執照資料尚未建置至系統；連江縣僅列管100年以後之案件)，占所有執照數209萬8,118件約73%。</w:t>
      </w:r>
    </w:p>
    <w:p w:rsidR="005B62B6" w:rsidRPr="005B62B6" w:rsidRDefault="005B62B6" w:rsidP="005B62B6">
      <w:pPr>
        <w:pStyle w:val="5"/>
      </w:pPr>
      <w:r w:rsidRPr="005B62B6">
        <w:rPr>
          <w:rFonts w:hint="eastAsia"/>
        </w:rPr>
        <w:t>經查，建築執照上雖載明有「層棟戶數」，惟大部分縣市均未就「棟」、「戶」數分別統計。可推估現有建築物適用88年12月29日建築物耐</w:t>
      </w:r>
      <w:r w:rsidRPr="005B62B6">
        <w:rPr>
          <w:rFonts w:hint="eastAsia"/>
        </w:rPr>
        <w:lastRenderedPageBreak/>
        <w:t>震設計規範及解說修正前之執照數至少7成以上，而每件執照所包含之棟、戶數之數量更多，其建築物耐震能力潛在之風險不容忽視。然營建署竟連基本的統計資料都未能完備，又如何能有效列管並督導各縣市政府進行建築物耐震能力評估及補強</w:t>
      </w:r>
      <w:r w:rsidRPr="005B62B6">
        <w:rPr>
          <w:rFonts w:hAnsi="標楷體" w:hint="eastAsia"/>
        </w:rPr>
        <w:t>？</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現有供公眾使用及非供公眾使用建築物之棟(戶)數」</w:t>
      </w:r>
      <w:r w:rsidRPr="005B62B6">
        <w:rPr>
          <w:rFonts w:hAnsi="標楷體" w:hint="eastAsia"/>
        </w:rPr>
        <w:t>：</w:t>
      </w:r>
      <w:r w:rsidRPr="005B62B6">
        <w:rPr>
          <w:rFonts w:hint="eastAsia"/>
        </w:rPr>
        <w:t>(附表二)</w:t>
      </w:r>
    </w:p>
    <w:p w:rsidR="005B62B6" w:rsidRPr="005B62B6" w:rsidRDefault="005B62B6" w:rsidP="005B62B6">
      <w:pPr>
        <w:pStyle w:val="5"/>
      </w:pPr>
      <w:r w:rsidRPr="005B62B6">
        <w:rPr>
          <w:rFonts w:hint="eastAsia"/>
        </w:rPr>
        <w:t>由附表二統計資料及附註可見，臺北市另填具未區分供公眾或非供公眾使用建築物11,254棟(執照數11,254件、2,426戶)、新北市另填具101,210棟(執照數81,787件、997,639戶)、南投縣共84,633件執照、嘉義縣共43,272件執照，亦均無法區分統計，桃園市統計日期為93至107年，臺南市統計日期為96年以後，苗栗縣於71至91年間有諸多執照資料未建置至系統，基隆市統計日期為71年6月15日以後，連江縣則僅列管100年以後之案件。</w:t>
      </w:r>
    </w:p>
    <w:p w:rsidR="005B62B6" w:rsidRPr="005B62B6" w:rsidRDefault="005B62B6" w:rsidP="005B62B6">
      <w:pPr>
        <w:pStyle w:val="5"/>
      </w:pPr>
      <w:r w:rsidRPr="005B62B6">
        <w:rPr>
          <w:rFonts w:hint="eastAsia"/>
        </w:rPr>
        <w:t>本院認為附表二統計資料之統計基礎各不相同，實欠缺統計意義，顯見各縣市政府對於供公眾使用建築物的掌握度不足，則營建署又如何有效督導列管</w:t>
      </w:r>
      <w:r w:rsidRPr="005B62B6">
        <w:rPr>
          <w:rFonts w:hAnsi="標楷體" w:hint="eastAsia"/>
        </w:rPr>
        <w:t>？</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現有供公眾使用及非供公眾使用建築物屋齡逾30年之棟(戶)數」</w:t>
      </w:r>
      <w:r w:rsidRPr="005B62B6">
        <w:rPr>
          <w:rFonts w:hAnsi="標楷體" w:hint="eastAsia"/>
        </w:rPr>
        <w:t>：</w:t>
      </w:r>
      <w:r w:rsidRPr="005B62B6">
        <w:rPr>
          <w:rFonts w:hint="eastAsia"/>
        </w:rPr>
        <w:t>(附表三)</w:t>
      </w:r>
    </w:p>
    <w:p w:rsidR="005B62B6" w:rsidRPr="005B62B6" w:rsidRDefault="005B62B6" w:rsidP="005B62B6">
      <w:pPr>
        <w:pStyle w:val="5"/>
      </w:pPr>
      <w:r w:rsidRPr="005B62B6">
        <w:rPr>
          <w:rFonts w:hint="eastAsia"/>
        </w:rPr>
        <w:t>由附表三統計資料及附註可見，臺北市另填具未區分供公眾或非供公眾使用建築物18,143棟(執照數10,940件、303戶)、</w:t>
      </w:r>
      <w:r w:rsidRPr="005B62B6">
        <w:t>新北市另填報59</w:t>
      </w:r>
      <w:r w:rsidRPr="005B62B6">
        <w:rPr>
          <w:rFonts w:hint="eastAsia"/>
        </w:rPr>
        <w:t>,</w:t>
      </w:r>
      <w:r w:rsidRPr="005B62B6">
        <w:t>851</w:t>
      </w:r>
      <w:r w:rsidRPr="005B62B6">
        <w:rPr>
          <w:rFonts w:hint="eastAsia"/>
        </w:rPr>
        <w:t>棟(</w:t>
      </w:r>
      <w:r w:rsidRPr="005B62B6">
        <w:t>執照數51</w:t>
      </w:r>
      <w:r w:rsidRPr="005B62B6">
        <w:rPr>
          <w:rFonts w:hint="eastAsia"/>
        </w:rPr>
        <w:t>,</w:t>
      </w:r>
      <w:r w:rsidRPr="005B62B6">
        <w:t>818</w:t>
      </w:r>
      <w:r w:rsidRPr="005B62B6">
        <w:rPr>
          <w:rFonts w:hint="eastAsia"/>
        </w:rPr>
        <w:t>件、</w:t>
      </w:r>
      <w:r w:rsidRPr="005B62B6">
        <w:t>182</w:t>
      </w:r>
      <w:r w:rsidRPr="005B62B6">
        <w:rPr>
          <w:rFonts w:hint="eastAsia"/>
        </w:rPr>
        <w:t>,</w:t>
      </w:r>
      <w:r w:rsidRPr="005B62B6">
        <w:t>406戶</w:t>
      </w:r>
      <w:r w:rsidRPr="005B62B6">
        <w:rPr>
          <w:rFonts w:hint="eastAsia"/>
        </w:rPr>
        <w:t>，且</w:t>
      </w:r>
      <w:r w:rsidRPr="005B62B6">
        <w:t>91年以後部分案件始有標示供公眾使用</w:t>
      </w:r>
      <w:r w:rsidRPr="005B62B6">
        <w:rPr>
          <w:rFonts w:hint="eastAsia"/>
        </w:rPr>
        <w:t>)、南投縣</w:t>
      </w:r>
      <w:r w:rsidRPr="005B62B6">
        <w:rPr>
          <w:rFonts w:hint="eastAsia"/>
        </w:rPr>
        <w:lastRenderedPageBreak/>
        <w:t>共36,193件執照、</w:t>
      </w:r>
      <w:r w:rsidRPr="005B62B6">
        <w:t>嘉義縣共3</w:t>
      </w:r>
      <w:r w:rsidRPr="005B62B6">
        <w:rPr>
          <w:rFonts w:hint="eastAsia"/>
        </w:rPr>
        <w:t>,</w:t>
      </w:r>
      <w:r w:rsidRPr="005B62B6">
        <w:t>257</w:t>
      </w:r>
      <w:r w:rsidRPr="005B62B6">
        <w:rPr>
          <w:rFonts w:hint="eastAsia"/>
        </w:rPr>
        <w:t>件執</w:t>
      </w:r>
      <w:r w:rsidRPr="005B62B6">
        <w:t>照</w:t>
      </w:r>
      <w:r w:rsidRPr="005B62B6">
        <w:rPr>
          <w:rFonts w:hint="eastAsia"/>
        </w:rPr>
        <w:t>、</w:t>
      </w:r>
      <w:r w:rsidRPr="005B62B6">
        <w:t>金門縣4</w:t>
      </w:r>
      <w:r w:rsidRPr="005B62B6">
        <w:rPr>
          <w:rFonts w:hint="eastAsia"/>
        </w:rPr>
        <w:t>,</w:t>
      </w:r>
      <w:r w:rsidRPr="005B62B6">
        <w:t>872</w:t>
      </w:r>
      <w:r w:rsidRPr="005B62B6">
        <w:rPr>
          <w:rFonts w:hint="eastAsia"/>
        </w:rPr>
        <w:t>件執</w:t>
      </w:r>
      <w:r w:rsidRPr="005B62B6">
        <w:t>照</w:t>
      </w:r>
      <w:r w:rsidRPr="005B62B6">
        <w:rPr>
          <w:rFonts w:hint="eastAsia"/>
        </w:rPr>
        <w:t xml:space="preserve">，亦均無法區分統計，臺南市僅統計76年12月31日前領得使用執照數量( </w:t>
      </w:r>
      <w:r w:rsidRPr="005B62B6">
        <w:t>258</w:t>
      </w:r>
      <w:r w:rsidRPr="005B62B6">
        <w:rPr>
          <w:rFonts w:hint="eastAsia"/>
        </w:rPr>
        <w:t>,</w:t>
      </w:r>
      <w:r w:rsidRPr="005B62B6">
        <w:t>178</w:t>
      </w:r>
      <w:r w:rsidRPr="005B62B6">
        <w:rPr>
          <w:rFonts w:hint="eastAsia"/>
        </w:rPr>
        <w:t>件，</w:t>
      </w:r>
      <w:r w:rsidRPr="005B62B6">
        <w:rPr>
          <w:rFonts w:hint="eastAsia"/>
        </w:rPr>
        <w:tab/>
        <w:t>且未區分統計)，苗栗縣於71至91年間有諸多執照資料未建置至系統，連江縣</w:t>
      </w:r>
      <w:r w:rsidRPr="005B62B6">
        <w:t>僅列管100年以後之案件，故無法提供屋齡超過30年之棟(戶)數</w:t>
      </w:r>
      <w:r w:rsidRPr="005B62B6">
        <w:rPr>
          <w:rFonts w:hint="eastAsia"/>
        </w:rPr>
        <w:t>資料。</w:t>
      </w:r>
    </w:p>
    <w:p w:rsidR="005B62B6" w:rsidRPr="005B62B6" w:rsidRDefault="005B62B6" w:rsidP="005B62B6">
      <w:pPr>
        <w:pStyle w:val="5"/>
      </w:pPr>
      <w:r w:rsidRPr="005B62B6">
        <w:rPr>
          <w:rFonts w:hint="eastAsia"/>
        </w:rPr>
        <w:t>本院認為供公眾使用之建築物，為供公眾工作、營業、居住、遊覽、娛樂及其他供公眾使用之用途，其使用強度及容留人數較一般建築物高，屋齡逾30年之老舊建築物，其致災風險更大，營建署卻未能確實清查列管，顯然輕忽緊急、重大天然災害時可能產生之危害。</w:t>
      </w:r>
    </w:p>
    <w:p w:rsidR="005B62B6" w:rsidRPr="005B62B6" w:rsidRDefault="005B62B6" w:rsidP="005B62B6">
      <w:pPr>
        <w:pStyle w:val="4"/>
      </w:pPr>
      <w:r w:rsidRPr="005B62B6">
        <w:rPr>
          <w:rFonts w:hint="eastAsia"/>
        </w:rPr>
        <w:t>有關「各直轄市、縣(市)現有供公眾使用及非供公眾使用建築物因921及331地震列管使照之棟(戶)數」</w:t>
      </w:r>
      <w:r w:rsidRPr="005B62B6">
        <w:rPr>
          <w:rFonts w:hAnsi="標楷體" w:hint="eastAsia"/>
        </w:rPr>
        <w:t>：</w:t>
      </w:r>
      <w:r w:rsidRPr="005B62B6">
        <w:rPr>
          <w:rFonts w:hint="eastAsia"/>
        </w:rPr>
        <w:t>(附表四</w:t>
      </w:r>
      <w:r w:rsidRPr="005B62B6">
        <w:t>)</w:t>
      </w:r>
    </w:p>
    <w:p w:rsidR="005B62B6" w:rsidRPr="005B62B6" w:rsidRDefault="005B62B6" w:rsidP="005B62B6">
      <w:pPr>
        <w:pStyle w:val="5"/>
      </w:pPr>
      <w:r w:rsidRPr="005B62B6">
        <w:rPr>
          <w:rFonts w:hint="eastAsia"/>
        </w:rPr>
        <w:t>由附表四可見，僅臺北市提供完整資料(計有供公眾使用</w:t>
      </w:r>
      <w:r w:rsidRPr="005B62B6">
        <w:t>74</w:t>
      </w:r>
      <w:r w:rsidRPr="005B62B6">
        <w:rPr>
          <w:rFonts w:hint="eastAsia"/>
        </w:rPr>
        <w:t>棟、非公眾使用</w:t>
      </w:r>
      <w:r w:rsidRPr="005B62B6">
        <w:t>25</w:t>
      </w:r>
      <w:r w:rsidRPr="005B62B6">
        <w:rPr>
          <w:rFonts w:hint="eastAsia"/>
        </w:rPr>
        <w:t>棟)，新北市</w:t>
      </w:r>
      <w:r w:rsidRPr="005B62B6">
        <w:t>棟數及戶數數量為使用執照登載數量</w:t>
      </w:r>
      <w:r w:rsidRPr="005B62B6">
        <w:rPr>
          <w:rFonts w:hint="eastAsia"/>
        </w:rPr>
        <w:t>(計有供公眾使用50棟、非公眾使用239棟</w:t>
      </w:r>
      <w:r w:rsidRPr="005B62B6">
        <w:t>，</w:t>
      </w:r>
      <w:r w:rsidRPr="005B62B6">
        <w:rPr>
          <w:rFonts w:hint="eastAsia"/>
        </w:rPr>
        <w:t>惟</w:t>
      </w:r>
      <w:r w:rsidRPr="005B62B6">
        <w:t>部分執照未登載棟數及戶數</w:t>
      </w:r>
      <w:r w:rsidRPr="005B62B6">
        <w:rPr>
          <w:rFonts w:hint="eastAsia"/>
        </w:rPr>
        <w:t>)，雲林縣非供公眾使用建築物1照拆除中，苗栗縣因71至91年間諸多執照資料未建置至系統而無資料，其他縣市則未有列管資料。</w:t>
      </w:r>
    </w:p>
    <w:p w:rsidR="005B62B6" w:rsidRPr="005B62B6" w:rsidRDefault="005B62B6" w:rsidP="005B62B6">
      <w:pPr>
        <w:pStyle w:val="5"/>
      </w:pPr>
      <w:r w:rsidRPr="005B62B6">
        <w:rPr>
          <w:rFonts w:hint="eastAsia"/>
        </w:rPr>
        <w:t>經查附表四中，除臺北市、新北市外，大部分縣市均無資料，是否皆已無應列管之建築物則無法得知。</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現有供公眾使用及非供公眾使用建築物公告列管之海砂屋棟(戶)數」(附表五)及「各</w:t>
      </w:r>
      <w:r w:rsidRPr="005B62B6">
        <w:rPr>
          <w:rFonts w:hAnsi="標楷體" w:hint="eastAsia"/>
        </w:rPr>
        <w:t>直轄市、縣(市)</w:t>
      </w:r>
      <w:r w:rsidRPr="005B62B6">
        <w:rPr>
          <w:rFonts w:hint="eastAsia"/>
        </w:rPr>
        <w:t>現有供公眾使用</w:t>
      </w:r>
      <w:r w:rsidRPr="005B62B6">
        <w:rPr>
          <w:rFonts w:hint="eastAsia"/>
        </w:rPr>
        <w:lastRenderedPageBreak/>
        <w:t>及非供公眾使用建築物因輻射屋需拆除建物之棟(戶)數」(附表六)，除苗栗縣71至91年間諸多執照資料未建置外，亦僅臺北市有相關統計資料，新北市有</w:t>
      </w:r>
      <w:r w:rsidRPr="005B62B6">
        <w:rPr>
          <w:bCs/>
        </w:rPr>
        <w:t>海砂屋棟(戶)數</w:t>
      </w:r>
      <w:r w:rsidRPr="005B62B6">
        <w:rPr>
          <w:rFonts w:hint="eastAsia"/>
          <w:bCs/>
        </w:rPr>
        <w:t>相關</w:t>
      </w:r>
      <w:r w:rsidRPr="005B62B6">
        <w:rPr>
          <w:bCs/>
        </w:rPr>
        <w:t>統計</w:t>
      </w:r>
      <w:r w:rsidRPr="005B62B6">
        <w:rPr>
          <w:rFonts w:hint="eastAsia"/>
          <w:bCs/>
        </w:rPr>
        <w:t>資料，基隆市有</w:t>
      </w:r>
      <w:r w:rsidRPr="005B62B6">
        <w:rPr>
          <w:bCs/>
        </w:rPr>
        <w:t>供公眾使用建築物因幅射屋需拆除建物之棟(戶)數量統計</w:t>
      </w:r>
      <w:r w:rsidRPr="005B62B6">
        <w:rPr>
          <w:rFonts w:hint="eastAsia"/>
        </w:rPr>
        <w:t>，其他縣市顯未就此部分統計列管。</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對於位處活動斷層兩側之既有建築物之評估、列管、補強或拆除重建之辦理情形」</w:t>
      </w:r>
      <w:r w:rsidRPr="005B62B6">
        <w:rPr>
          <w:rFonts w:hAnsi="標楷體" w:hint="eastAsia"/>
        </w:rPr>
        <w:t>：</w:t>
      </w:r>
      <w:r w:rsidRPr="005B62B6">
        <w:rPr>
          <w:rFonts w:hint="eastAsia"/>
        </w:rPr>
        <w:t>(附表七</w:t>
      </w:r>
      <w:r w:rsidRPr="005B62B6">
        <w:t>)</w:t>
      </w:r>
    </w:p>
    <w:p w:rsidR="005B62B6" w:rsidRPr="005B62B6" w:rsidRDefault="005B62B6" w:rsidP="005B62B6">
      <w:pPr>
        <w:pStyle w:val="5"/>
      </w:pPr>
      <w:r w:rsidRPr="005B62B6">
        <w:rPr>
          <w:rFonts w:hint="eastAsia"/>
        </w:rPr>
        <w:t>由附表七可見，僅新竹市列管「新竹斷層」既有建築物建築執照158件(561棟、8,145戶)、</w:t>
      </w:r>
      <w:r w:rsidRPr="005B62B6">
        <w:t>花蓮縣</w:t>
      </w:r>
      <w:r w:rsidRPr="005B62B6">
        <w:rPr>
          <w:rFonts w:hint="eastAsia"/>
        </w:rPr>
        <w:t>列管</w:t>
      </w:r>
      <w:r w:rsidRPr="005B62B6">
        <w:t>池上斷層</w:t>
      </w:r>
      <w:r w:rsidRPr="005B62B6">
        <w:rPr>
          <w:rFonts w:hint="eastAsia"/>
        </w:rPr>
        <w:t>建築執照1件(1棟、1戶)，另臺北市及臺中市目前並無活動斷層上列管建築物清冊，</w:t>
      </w:r>
      <w:r w:rsidRPr="005B62B6">
        <w:t>新北市因無規定距活動斷層兩側之距離，系統無統計數據</w:t>
      </w:r>
      <w:r w:rsidRPr="005B62B6">
        <w:rPr>
          <w:rFonts w:hint="eastAsia"/>
        </w:rPr>
        <w:t>，苗栗縣尚無訂定活動斷層兩側一定範圍之禁限建規定，而嘉義市則表示無活動斷層。</w:t>
      </w:r>
    </w:p>
    <w:p w:rsidR="005B62B6" w:rsidRPr="005B62B6" w:rsidRDefault="005B62B6" w:rsidP="005B62B6">
      <w:pPr>
        <w:pStyle w:val="5"/>
      </w:pPr>
      <w:r w:rsidRPr="005B62B6">
        <w:rPr>
          <w:rFonts w:hint="eastAsia"/>
        </w:rPr>
        <w:t>本院認為附表七對於位處活動斷層兩側之既有建築物資料太過粗略，921大地震車籠埔斷層肇致重大災情之殷鑑不遠，本次花蓮地震雖非米崙斷層引發，震災災情卻也多分佈在該斷層沿線，而各縣市對於活動斷層之掌握度明顯不足，其防、救災機制堪慮。</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對於重要救災動線兩側之建築物評估、列管及補強之辦理情形」</w:t>
      </w:r>
      <w:r w:rsidRPr="005B62B6">
        <w:rPr>
          <w:rFonts w:hAnsi="標楷體" w:hint="eastAsia"/>
        </w:rPr>
        <w:t>：</w:t>
      </w:r>
      <w:r w:rsidRPr="005B62B6">
        <w:t>(</w:t>
      </w:r>
      <w:r w:rsidRPr="005B62B6">
        <w:rPr>
          <w:rFonts w:hint="eastAsia"/>
        </w:rPr>
        <w:t>附表八</w:t>
      </w:r>
      <w:r w:rsidRPr="005B62B6">
        <w:t>)</w:t>
      </w:r>
    </w:p>
    <w:p w:rsidR="005B62B6" w:rsidRPr="005B62B6" w:rsidRDefault="005B62B6" w:rsidP="005B62B6">
      <w:pPr>
        <w:pStyle w:val="5"/>
      </w:pPr>
      <w:r w:rsidRPr="005B62B6">
        <w:rPr>
          <w:rFonts w:hint="eastAsia"/>
        </w:rPr>
        <w:t>由附表八可見，僅臺北市統計有2橫2縱救災動線既有建築物共7,256棟，惟並未評估列管；臺東縣係由消防局各大隊列管轄內高危險場所或</w:t>
      </w:r>
      <w:r w:rsidRPr="005B62B6">
        <w:rPr>
          <w:rFonts w:hint="eastAsia"/>
        </w:rPr>
        <w:lastRenderedPageBreak/>
        <w:t>特定建築物(164棟)；臺中市及苗栗縣並無列管相關救災動線兩側之建築物；嘉義市更無特別規劃救災動線。</w:t>
      </w:r>
    </w:p>
    <w:p w:rsidR="005B62B6" w:rsidRPr="005B62B6" w:rsidRDefault="005B62B6" w:rsidP="005B62B6">
      <w:pPr>
        <w:pStyle w:val="5"/>
      </w:pPr>
      <w:r w:rsidRPr="005B62B6">
        <w:rPr>
          <w:rFonts w:hint="eastAsia"/>
        </w:rPr>
        <w:t>本院認為從上述資料看來，顯然各</w:t>
      </w:r>
      <w:r w:rsidRPr="005B62B6">
        <w:rPr>
          <w:rFonts w:hAnsi="標楷體" w:hint="eastAsia"/>
        </w:rPr>
        <w:t>直轄市、縣(市)</w:t>
      </w:r>
      <w:r w:rsidRPr="005B62B6">
        <w:rPr>
          <w:rFonts w:hint="eastAsia"/>
        </w:rPr>
        <w:t>對於救災動線兩側建物幾乎皆無列管、評估資料，欠缺都市防災重大交通動線之規劃，實應儘速檢討改進。</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辦理建築物快篩及後續處理情形」</w:t>
      </w:r>
      <w:r w:rsidRPr="005B62B6">
        <w:rPr>
          <w:rFonts w:hAnsi="標楷體" w:hint="eastAsia"/>
        </w:rPr>
        <w:t>：</w:t>
      </w:r>
      <w:r w:rsidRPr="005B62B6">
        <w:t>(</w:t>
      </w:r>
      <w:r w:rsidRPr="005B62B6">
        <w:rPr>
          <w:rFonts w:hint="eastAsia"/>
        </w:rPr>
        <w:t>附表九</w:t>
      </w:r>
      <w:r w:rsidRPr="005B62B6">
        <w:t>)</w:t>
      </w:r>
    </w:p>
    <w:p w:rsidR="005B62B6" w:rsidRPr="005B62B6" w:rsidRDefault="005B62B6" w:rsidP="005B62B6">
      <w:pPr>
        <w:pStyle w:val="5"/>
      </w:pPr>
      <w:r w:rsidRPr="005B62B6">
        <w:rPr>
          <w:rFonts w:hint="eastAsia"/>
        </w:rPr>
        <w:t>內政部為協助各直轄市、縣(市)政府瞭解轄內住宅類建築物之耐震能力，依「安家固園計畫-106年度執行計畫」，補助地方政府執行「大樓建照快篩作業」，由各地方政府主動針對88年12月31日前興建、12樓以上之鋼筋混凝土構造建築物，委託專業機構進行建使照圖說比對、清查，建築物如有安全疑慮，主動通知並輔導所有權人申請耐震能力初步評估，進一步確認建築物結構安全。107年2月6日</w:t>
      </w:r>
      <w:r w:rsidRPr="005B62B6">
        <w:rPr>
          <w:rFonts w:hAnsi="標楷體" w:hint="eastAsia"/>
          <w:noProof/>
          <w:szCs w:val="32"/>
        </w:rPr>
        <w:t>花蓮地震後，</w:t>
      </w:r>
      <w:r w:rsidRPr="005B62B6">
        <w:rPr>
          <w:rFonts w:hAnsi="標楷體" w:hint="eastAsia"/>
          <w:szCs w:val="32"/>
        </w:rPr>
        <w:t>行政院及內政部於同年月26日召開「全國建築物耐震安檢暨輔導重建補強」記者會，宣布全面啟動全國性建築物快篩、耐震能力評估、補強及重建等具體作為</w:t>
      </w:r>
      <w:r w:rsidRPr="005B62B6">
        <w:rPr>
          <w:rFonts w:hint="eastAsia"/>
        </w:rPr>
        <w:t>；營建署並於同年3月1日</w:t>
      </w:r>
      <w:r w:rsidRPr="005B62B6">
        <w:rPr>
          <w:rStyle w:val="afe"/>
        </w:rPr>
        <w:footnoteReference w:id="4"/>
      </w:r>
      <w:r w:rsidRPr="005B62B6">
        <w:rPr>
          <w:rFonts w:hint="eastAsia"/>
        </w:rPr>
        <w:t>通函各地方政府儘速完成快篩清查及通知建築物所有權人辦理耐震能力初步評估事宜。但有關各</w:t>
      </w:r>
      <w:r w:rsidRPr="005B62B6">
        <w:rPr>
          <w:rFonts w:hAnsi="標楷體" w:hint="eastAsia"/>
        </w:rPr>
        <w:t>直轄市、縣(市)</w:t>
      </w:r>
      <w:r w:rsidRPr="005B62B6">
        <w:rPr>
          <w:rFonts w:hint="eastAsia"/>
        </w:rPr>
        <w:t>辦理建築物快篩及後續處理情形，由附表九可見，臺北市及彰化縣僅以棟數統計列管，大部分縣市僅統計執照數，僅臺中市及基隆市有統計戶數。</w:t>
      </w:r>
    </w:p>
    <w:p w:rsidR="005B62B6" w:rsidRPr="005B62B6" w:rsidRDefault="005B62B6" w:rsidP="005B62B6">
      <w:pPr>
        <w:pStyle w:val="5"/>
      </w:pPr>
      <w:r w:rsidRPr="005B62B6">
        <w:rPr>
          <w:rFonts w:hint="eastAsia"/>
        </w:rPr>
        <w:lastRenderedPageBreak/>
        <w:t>本院查，行政院及內政部推動上開重建補強事宜，已近10個月之久，但不僅統計資料不全，如若快篩結果不通過時，又將如何確認已通知該建築物全部所有權人進行耐震能力評估事宜</w:t>
      </w:r>
      <w:r w:rsidRPr="005B62B6">
        <w:rPr>
          <w:rFonts w:hAnsi="標楷體" w:hint="eastAsia"/>
        </w:rPr>
        <w:t>？</w:t>
      </w:r>
      <w:r w:rsidRPr="005B62B6">
        <w:rPr>
          <w:rFonts w:hint="eastAsia"/>
        </w:rPr>
        <w:t>在規範不明確的情形下，營建署究將如何確實予以輔導列管</w:t>
      </w:r>
      <w:r w:rsidRPr="005B62B6">
        <w:rPr>
          <w:rFonts w:hAnsi="標楷體" w:hint="eastAsia"/>
        </w:rPr>
        <w:t>？</w:t>
      </w:r>
    </w:p>
    <w:p w:rsidR="005B62B6" w:rsidRPr="005B62B6" w:rsidRDefault="005B62B6" w:rsidP="005B62B6">
      <w:pPr>
        <w:pStyle w:val="3"/>
      </w:pPr>
      <w:r w:rsidRPr="005B62B6">
        <w:rPr>
          <w:rFonts w:hint="eastAsia"/>
        </w:rPr>
        <w:t>綜上，自88年我國發生921大地震迄今，已將近20年，依據內政部不動產資訊平台106</w:t>
      </w:r>
      <w:r w:rsidRPr="005B62B6">
        <w:rPr>
          <w:rFonts w:hint="eastAsia"/>
          <w:lang w:eastAsia="zh-HK"/>
        </w:rPr>
        <w:t>年資料</w:t>
      </w:r>
      <w:r w:rsidRPr="005B62B6">
        <w:rPr>
          <w:rFonts w:hint="eastAsia"/>
        </w:rPr>
        <w:t>，</w:t>
      </w:r>
      <w:r w:rsidRPr="005B62B6">
        <w:rPr>
          <w:rFonts w:hint="eastAsia"/>
          <w:lang w:eastAsia="zh-HK"/>
        </w:rPr>
        <w:t>88年以前之住宅類房屋稅籍數量為621萬7,260戶，約</w:t>
      </w:r>
      <w:r w:rsidRPr="005B62B6">
        <w:rPr>
          <w:rFonts w:hint="eastAsia"/>
        </w:rPr>
        <w:t>占全國住宅類房屋稅籍</w:t>
      </w:r>
      <w:r w:rsidRPr="005B62B6">
        <w:rPr>
          <w:rFonts w:hint="eastAsia"/>
          <w:lang w:eastAsia="zh-HK"/>
        </w:rPr>
        <w:t>72.8%，但</w:t>
      </w:r>
      <w:r w:rsidRPr="005B62B6">
        <w:rPr>
          <w:rFonts w:hint="eastAsia"/>
        </w:rPr>
        <w:t>營建署對於現有建築物之相關資料(例如建造年度、使用類型、棟戶數等等)仍未能建置一套完善系統加以列管，故統計資料多有闕漏，導致政府目前無法確實掌握建築物現況，則相關防災政策即無法順利推動。營建署就相關資料蒐集彙整之行政作為有欠積極，核有怠失。</w:t>
      </w:r>
    </w:p>
    <w:p w:rsidR="005B62B6" w:rsidRPr="005B62B6" w:rsidRDefault="005B62B6" w:rsidP="005B62B6">
      <w:pPr>
        <w:pStyle w:val="2"/>
        <w:rPr>
          <w:b/>
        </w:rPr>
      </w:pPr>
      <w:r w:rsidRPr="005B62B6">
        <w:rPr>
          <w:rFonts w:hint="eastAsia"/>
          <w:b/>
        </w:rPr>
        <w:t>自從88年921大地震發生迄今已近20年，而88年12月建築物耐震設計規範及解說修正前所核發之建築執照，恐有半數以上需進行耐震能力評估，內政部營建署卻迄至106年始補助地方政府執行「大樓建照快篩作業」，時程拖延過久，作為太過消極，自無法確保舊有建築物的耐震安全。又該署雖稱預計於3年內(至109年)完成在88年12月31日以前興建、6樓以上之鋼筋混凝土建築物之快篩作業，惟至今期限已進行近2年，該署統計各縣市政府完成建築物快篩數量占88年12月前之執照數，竟僅有</w:t>
      </w:r>
      <w:r w:rsidR="009079DE">
        <w:rPr>
          <w:rFonts w:hint="eastAsia"/>
          <w:b/>
        </w:rPr>
        <w:t>0.5</w:t>
      </w:r>
      <w:r w:rsidRPr="005B62B6">
        <w:rPr>
          <w:rFonts w:hint="eastAsia"/>
          <w:b/>
        </w:rPr>
        <w:t>%左右，進度明顯遲緩，該署顯未確實列管並督導各地方政府依進程辦理，洵有怠失。</w:t>
      </w:r>
    </w:p>
    <w:p w:rsidR="005B62B6" w:rsidRPr="005B62B6" w:rsidRDefault="005B62B6" w:rsidP="005B62B6">
      <w:pPr>
        <w:pStyle w:val="3"/>
      </w:pPr>
      <w:r w:rsidRPr="005B62B6">
        <w:rPr>
          <w:rFonts w:hint="eastAsia"/>
        </w:rPr>
        <w:t>有關營建署推動建築物快篩制度及辦理情形，據內政部函復，營建署係依「安家固園計畫-106年度執</w:t>
      </w:r>
      <w:r w:rsidRPr="005B62B6">
        <w:rPr>
          <w:rFonts w:hint="eastAsia"/>
        </w:rPr>
        <w:lastRenderedPageBreak/>
        <w:t>行計畫」，補助地方政府執行「大樓建照快篩作業」，由各地方政府主動針對88年12月31日前興建、12樓以上之鋼筋混凝土構造建築物，委託專業機構進行建使照圖說比對、清查，建築物如有安全疑慮，主動通知並輔導所有權人申請耐震能力初步評估，進一步確認建築物結構安全，營建署並於107年3月通函各地方政府儘速完成快篩清查及通知建築物所有權人辦理耐震能力初步評估事宜。</w:t>
      </w:r>
    </w:p>
    <w:p w:rsidR="005B62B6" w:rsidRPr="005B62B6" w:rsidRDefault="005B62B6" w:rsidP="005B62B6">
      <w:pPr>
        <w:pStyle w:val="3"/>
      </w:pPr>
      <w:r w:rsidRPr="005B62B6">
        <w:rPr>
          <w:rFonts w:hint="eastAsia"/>
        </w:rPr>
        <w:t>又，內政部依該部建管系統統計88年12月31日以前興建、6樓以上之鋼筋混凝土建築物約36,000件，106年已先行補助各直轄市、縣市政府主動針對88年12月31日以前興建、12樓以上之鋼筋混凝土建築物進行快篩作業，計9,300餘件；107年度預計辦理至9層樓以上，約7,500件；108至109年辦理6層樓以上，約20,000件。預計於3年內完成88年12月31日以前興建、6樓以上之鋼筋混凝土建築物之快篩作業。另該部認為，建築物快篩作業僅係圖說之篩選，建築物是否安全仍應進一步辦理建築物耐震能力評估進行確認，故快篩結果不宜公開。</w:t>
      </w:r>
    </w:p>
    <w:p w:rsidR="005B62B6" w:rsidRPr="005B62B6" w:rsidRDefault="005B62B6" w:rsidP="005B62B6">
      <w:pPr>
        <w:pStyle w:val="3"/>
      </w:pPr>
      <w:r w:rsidRPr="005B62B6">
        <w:rPr>
          <w:rFonts w:hint="eastAsia"/>
        </w:rPr>
        <w:t>惟由營建署前述函復資料可見，適用88年12月建築物耐震設計規範及解說修正前之執照數約為152萬9</w:t>
      </w:r>
      <w:r w:rsidRPr="005B62B6">
        <w:t>,</w:t>
      </w:r>
      <w:r w:rsidRPr="005B62B6">
        <w:rPr>
          <w:rFonts w:hint="eastAsia"/>
        </w:rPr>
        <w:t>600件，占所有執照數209萬8,118件至少7成以上。而有關各</w:t>
      </w:r>
      <w:r w:rsidRPr="005B62B6">
        <w:rPr>
          <w:rFonts w:hAnsi="標楷體" w:hint="eastAsia"/>
        </w:rPr>
        <w:t>直轄市、縣(市)</w:t>
      </w:r>
      <w:r w:rsidRPr="005B62B6">
        <w:rPr>
          <w:rFonts w:hint="eastAsia"/>
        </w:rPr>
        <w:t>辦理建築物快篩及後續處理情形</w:t>
      </w:r>
      <w:r w:rsidRPr="005B62B6">
        <w:t>(</w:t>
      </w:r>
      <w:r w:rsidRPr="005B62B6">
        <w:rPr>
          <w:rFonts w:hint="eastAsia"/>
        </w:rPr>
        <w:t>附表九</w:t>
      </w:r>
      <w:r w:rsidRPr="005B62B6">
        <w:t>)</w:t>
      </w:r>
      <w:r w:rsidRPr="005B62B6">
        <w:rPr>
          <w:rFonts w:hint="eastAsia"/>
        </w:rPr>
        <w:t>，臺北市未統計執照數，</w:t>
      </w:r>
      <w:r w:rsidRPr="005B62B6">
        <w:t>新北市</w:t>
      </w:r>
      <w:r w:rsidRPr="005B62B6">
        <w:rPr>
          <w:rFonts w:hint="eastAsia"/>
        </w:rPr>
        <w:t>僅</w:t>
      </w:r>
      <w:r w:rsidRPr="005B62B6">
        <w:t>統計12層樓以上數量</w:t>
      </w:r>
      <w:r w:rsidRPr="005B62B6">
        <w:rPr>
          <w:rFonts w:hint="eastAsia"/>
        </w:rPr>
        <w:t>，南投縣無資料及澎湖縣無辦理外，經營建署統計需辦理快篩數量為11,337件，占88年12月建築物耐震設計規範及解說修正前之執照數(約152萬餘件)約僅</w:t>
      </w:r>
      <w:r w:rsidR="009079DE">
        <w:rPr>
          <w:rFonts w:hint="eastAsia"/>
        </w:rPr>
        <w:t>0.7</w:t>
      </w:r>
      <w:r w:rsidRPr="005B62B6">
        <w:rPr>
          <w:rFonts w:hint="eastAsia"/>
        </w:rPr>
        <w:t>%；完成快篩數量8,315件，占需辦理快篩數量(11,337件)約為2/3；而快篩結果通過(2,191件)與不通過(6,714件)比</w:t>
      </w:r>
      <w:r w:rsidRPr="005B62B6">
        <w:rPr>
          <w:rFonts w:hint="eastAsia"/>
        </w:rPr>
        <w:lastRenderedPageBreak/>
        <w:t>例約為1：3，當可推估適用88年12月建築物耐震設計規範及解說修正前之執照數，恐有半數以上需進一步進行耐震能力評估(初評及詳評)。顯見921大地震迄今已近20年，營建署所掌握之各</w:t>
      </w:r>
      <w:r w:rsidRPr="005B62B6">
        <w:rPr>
          <w:rFonts w:hAnsi="標楷體" w:hint="eastAsia"/>
        </w:rPr>
        <w:t>直轄市、縣(市)</w:t>
      </w:r>
      <w:r w:rsidRPr="005B62B6">
        <w:rPr>
          <w:rFonts w:hint="eastAsia"/>
        </w:rPr>
        <w:t>政府完成建築物快篩數量(8,315件)占88年12月建築物耐震設計規範及解說修正前之執照數(152萬件)竟僅有</w:t>
      </w:r>
      <w:r w:rsidR="009079DE">
        <w:rPr>
          <w:rFonts w:hint="eastAsia"/>
        </w:rPr>
        <w:t>0.5</w:t>
      </w:r>
      <w:r w:rsidRPr="005B62B6">
        <w:rPr>
          <w:rFonts w:hint="eastAsia"/>
        </w:rPr>
        <w:t>%左右，進度嚴重落後，遑論列管與輔導。</w:t>
      </w:r>
    </w:p>
    <w:p w:rsidR="005B62B6" w:rsidRPr="005B62B6" w:rsidRDefault="005B62B6" w:rsidP="005B62B6">
      <w:pPr>
        <w:pStyle w:val="3"/>
      </w:pPr>
      <w:r w:rsidRPr="005B62B6">
        <w:rPr>
          <w:rFonts w:hint="eastAsia"/>
        </w:rPr>
        <w:t>綜上，自從88年921大地震發生迄今已近20年，而88年12月建築物耐震設計規範及解說修正前所核發之建築執照，恐有半數以上需進行耐震能力評估，營建署卻迄至106年始補助地方政府執行「大樓建照快篩作業」，時程拖延過久，作為太過消極，自無法確保舊有建築物的耐震安全。又該署雖稱預計於3年內(至109年)完成在88年12月31日以前興建、6樓以上之鋼筋混凝土建築物之快篩作業，惟至今期限已進行近2年，該署統計各</w:t>
      </w:r>
      <w:r w:rsidRPr="005B62B6">
        <w:rPr>
          <w:rFonts w:hAnsi="標楷體" w:hint="eastAsia"/>
        </w:rPr>
        <w:t>直轄市、縣(市)</w:t>
      </w:r>
      <w:r w:rsidRPr="005B62B6">
        <w:rPr>
          <w:rFonts w:hint="eastAsia"/>
        </w:rPr>
        <w:t>政府完成建築物快篩數量占88年12月前之執照數，竟僅有</w:t>
      </w:r>
      <w:r w:rsidR="002C4798">
        <w:rPr>
          <w:rFonts w:hint="eastAsia"/>
        </w:rPr>
        <w:t>0.</w:t>
      </w:r>
      <w:r w:rsidRPr="005B62B6">
        <w:rPr>
          <w:rFonts w:hint="eastAsia"/>
        </w:rPr>
        <w:t>5%左右，進度明顯遲緩，該署顯未確實列管並督導各地方政府依進程辦理，洵有怠失。</w:t>
      </w:r>
    </w:p>
    <w:p w:rsidR="001601AF" w:rsidRPr="005B62B6" w:rsidRDefault="001601AF" w:rsidP="001601AF">
      <w:pPr>
        <w:pStyle w:val="10"/>
        <w:ind w:left="680" w:firstLine="680"/>
      </w:pPr>
      <w:bookmarkStart w:id="65" w:name="_Toc524895646"/>
      <w:bookmarkStart w:id="66" w:name="_Toc524896192"/>
      <w:bookmarkStart w:id="67" w:name="_Toc524896222"/>
      <w:bookmarkStart w:id="68" w:name="_Toc524902729"/>
      <w:bookmarkStart w:id="69" w:name="_Toc525066145"/>
      <w:bookmarkStart w:id="70" w:name="_Toc525070836"/>
      <w:bookmarkStart w:id="71" w:name="_Toc525938376"/>
      <w:bookmarkStart w:id="72" w:name="_Toc525939224"/>
      <w:bookmarkStart w:id="73" w:name="_Toc525939729"/>
      <w:bookmarkStart w:id="74" w:name="_Toc529218269"/>
      <w:bookmarkEnd w:id="59"/>
      <w:bookmarkEnd w:id="60"/>
      <w:bookmarkEnd w:id="61"/>
      <w:bookmarkEnd w:id="62"/>
      <w:bookmarkEnd w:id="63"/>
      <w:bookmarkEnd w:id="64"/>
      <w:r w:rsidRPr="005B62B6">
        <w:br w:type="page"/>
      </w:r>
      <w:bookmarkStart w:id="75" w:name="_Toc524902730"/>
      <w:bookmarkEnd w:id="65"/>
      <w:bookmarkEnd w:id="66"/>
      <w:bookmarkEnd w:id="67"/>
      <w:bookmarkEnd w:id="68"/>
      <w:bookmarkEnd w:id="69"/>
      <w:bookmarkEnd w:id="70"/>
      <w:bookmarkEnd w:id="71"/>
      <w:bookmarkEnd w:id="72"/>
      <w:bookmarkEnd w:id="73"/>
      <w:bookmarkEnd w:id="74"/>
      <w:r w:rsidRPr="005B62B6">
        <w:rPr>
          <w:rFonts w:hint="eastAsia"/>
        </w:rPr>
        <w:lastRenderedPageBreak/>
        <w:t>綜上所述，內政部</w:t>
      </w:r>
      <w:r w:rsidR="00665A7E" w:rsidRPr="005B62B6">
        <w:rPr>
          <w:rFonts w:hint="eastAsia"/>
        </w:rPr>
        <w:t>確</w:t>
      </w:r>
      <w:r w:rsidRPr="005B62B6">
        <w:rPr>
          <w:rFonts w:hint="eastAsia"/>
        </w:rPr>
        <w:t>有怠失，爰依</w:t>
      </w:r>
      <w:r w:rsidRPr="005B62B6">
        <w:rPr>
          <w:rFonts w:hint="eastAsia"/>
          <w:bCs/>
        </w:rPr>
        <w:t>憲法第97條第1項及</w:t>
      </w:r>
      <w:r w:rsidRPr="005B62B6">
        <w:rPr>
          <w:rFonts w:hint="eastAsia"/>
        </w:rPr>
        <w:t>監察法第24條之規定提案糾正，移送內政部督同所屬確實檢討改善見復。</w:t>
      </w:r>
    </w:p>
    <w:p w:rsidR="003C64C0" w:rsidRPr="005B62B6" w:rsidRDefault="003C64C0">
      <w:pPr>
        <w:widowControl/>
        <w:kinsoku/>
        <w:overflowPunct/>
        <w:autoSpaceDE/>
        <w:autoSpaceDN/>
        <w:jc w:val="left"/>
        <w:rPr>
          <w:bCs/>
          <w:kern w:val="0"/>
        </w:rPr>
      </w:pPr>
      <w:bookmarkStart w:id="7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75"/>
      <w:bookmarkEnd w:id="76"/>
      <w:r w:rsidRPr="005B62B6">
        <w:rPr>
          <w:bCs/>
        </w:rPr>
        <w:br w:type="page"/>
      </w:r>
    </w:p>
    <w:p w:rsidR="008C786C" w:rsidRPr="005B62B6" w:rsidRDefault="008C786C"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3C64C0">
      <w:pPr>
        <w:pStyle w:val="af0"/>
        <w:kinsoku/>
        <w:autoSpaceDE w:val="0"/>
        <w:spacing w:beforeLines="50" w:before="228"/>
        <w:ind w:left="1500" w:hanging="1500"/>
        <w:jc w:val="center"/>
        <w:rPr>
          <w:bCs/>
          <w:sz w:val="48"/>
          <w:szCs w:val="48"/>
        </w:rPr>
      </w:pPr>
      <w:r w:rsidRPr="005B62B6">
        <w:rPr>
          <w:rFonts w:hint="eastAsia"/>
          <w:bCs/>
          <w:sz w:val="48"/>
          <w:szCs w:val="48"/>
        </w:rPr>
        <w:t>相關附表</w:t>
      </w: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8C786C" w:rsidRPr="005B62B6" w:rsidRDefault="008C786C">
      <w:pPr>
        <w:widowControl/>
        <w:overflowPunct/>
        <w:autoSpaceDE/>
        <w:autoSpaceDN/>
        <w:jc w:val="left"/>
        <w:rPr>
          <w:bCs/>
          <w:kern w:val="0"/>
        </w:rPr>
        <w:sectPr w:rsidR="008C786C" w:rsidRPr="005B62B6" w:rsidSect="00E11793">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pPr>
    </w:p>
    <w:p w:rsidR="00B77D18" w:rsidRPr="005B62B6" w:rsidRDefault="008C786C" w:rsidP="004F08C9">
      <w:pPr>
        <w:pStyle w:val="a0"/>
        <w:numPr>
          <w:ilvl w:val="0"/>
          <w:numId w:val="3"/>
        </w:numPr>
        <w:tabs>
          <w:tab w:val="clear" w:pos="1440"/>
        </w:tabs>
        <w:ind w:left="1361" w:hanging="1361"/>
        <w:rPr>
          <w:bCs/>
        </w:rPr>
      </w:pPr>
      <w:bookmarkStart w:id="77" w:name="_Toc421794882"/>
      <w:bookmarkStart w:id="78" w:name="_Toc422834167"/>
      <w:bookmarkStart w:id="79" w:name="_Toc4467127"/>
      <w:r w:rsidRPr="005B62B6">
        <w:rPr>
          <w:rFonts w:hint="eastAsia"/>
          <w:bCs/>
        </w:rPr>
        <w:lastRenderedPageBreak/>
        <w:t>各</w:t>
      </w:r>
      <w:r w:rsidR="005B62B6" w:rsidRPr="005B62B6">
        <w:rPr>
          <w:rFonts w:hAnsi="標楷體" w:hint="eastAsia"/>
        </w:rPr>
        <w:t>直轄市、縣(市)</w:t>
      </w:r>
      <w:r w:rsidRPr="005B62B6">
        <w:rPr>
          <w:rFonts w:hint="eastAsia"/>
          <w:bCs/>
        </w:rPr>
        <w:t>現有建築物適用各耐震設計規定之棟(戶)數量統計表</w:t>
      </w:r>
      <w:bookmarkStart w:id="80" w:name="_Toc421794883"/>
      <w:bookmarkEnd w:id="77"/>
      <w:bookmarkEnd w:id="78"/>
      <w:bookmarkEnd w:id="80"/>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4"/>
        <w:gridCol w:w="680"/>
        <w:gridCol w:w="680"/>
        <w:gridCol w:w="681"/>
        <w:gridCol w:w="680"/>
        <w:gridCol w:w="680"/>
        <w:gridCol w:w="681"/>
        <w:gridCol w:w="680"/>
        <w:gridCol w:w="850"/>
        <w:gridCol w:w="682"/>
        <w:gridCol w:w="680"/>
        <w:gridCol w:w="680"/>
        <w:gridCol w:w="680"/>
        <w:gridCol w:w="680"/>
        <w:gridCol w:w="680"/>
        <w:gridCol w:w="680"/>
        <w:gridCol w:w="680"/>
        <w:gridCol w:w="680"/>
        <w:gridCol w:w="680"/>
        <w:gridCol w:w="680"/>
        <w:gridCol w:w="680"/>
        <w:gridCol w:w="682"/>
      </w:tblGrid>
      <w:tr w:rsidR="005B62B6" w:rsidRPr="005B62B6" w:rsidTr="00386484">
        <w:trPr>
          <w:cantSplit/>
          <w:trHeight w:val="20"/>
          <w:jc w:val="center"/>
        </w:trPr>
        <w:tc>
          <w:tcPr>
            <w:tcW w:w="734" w:type="dxa"/>
            <w:vMerge w:val="restart"/>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縣市別</w:t>
            </w:r>
          </w:p>
        </w:tc>
        <w:tc>
          <w:tcPr>
            <w:tcW w:w="2041"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63以前</w:t>
            </w:r>
          </w:p>
        </w:tc>
        <w:tc>
          <w:tcPr>
            <w:tcW w:w="2041"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63~71.6.15</w:t>
            </w:r>
          </w:p>
        </w:tc>
        <w:tc>
          <w:tcPr>
            <w:tcW w:w="2212"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71.6.15~86.5.1</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86.5.1~88.12.29</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88.12.29~93.12.24</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93.12.24~100.7.1</w:t>
            </w:r>
          </w:p>
        </w:tc>
        <w:tc>
          <w:tcPr>
            <w:tcW w:w="2042"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100.7.1以後</w:t>
            </w:r>
          </w:p>
        </w:tc>
      </w:tr>
      <w:tr w:rsidR="005B62B6" w:rsidRPr="005B62B6" w:rsidTr="00386484">
        <w:trPr>
          <w:cantSplit/>
          <w:trHeight w:val="20"/>
          <w:jc w:val="center"/>
        </w:trPr>
        <w:tc>
          <w:tcPr>
            <w:tcW w:w="734" w:type="dxa"/>
            <w:vMerge/>
            <w:vAlign w:val="center"/>
            <w:hideMark/>
          </w:tcPr>
          <w:p w:rsidR="00C778F7" w:rsidRPr="005B62B6" w:rsidRDefault="00C778F7" w:rsidP="001E2E79">
            <w:pPr>
              <w:pStyle w:val="12"/>
              <w:spacing w:before="0" w:after="0" w:line="200" w:lineRule="exact"/>
              <w:rPr>
                <w:sz w:val="20"/>
                <w:szCs w:val="20"/>
              </w:rPr>
            </w:pP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1"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1"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85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2"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2"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臺北市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49,957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88,615</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30,315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31,307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312,525</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18,083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21,675</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344,354</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14,517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39,054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1,286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2,738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43,310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4,095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84,304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47,789</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2,076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新北市</w:t>
            </w:r>
            <w:r w:rsidRPr="005B62B6">
              <w:rPr>
                <w:sz w:val="12"/>
                <w:szCs w:val="12"/>
              </w:rPr>
              <w:t>註1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33,517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120,142</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28,988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34,738</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565,577</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25,840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2,630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52,941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2,004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47,644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2,279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11,059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157,629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7,793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159,415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4,592</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桃園市</w:t>
            </w:r>
            <w:r w:rsidRPr="005B62B6">
              <w:rPr>
                <w:sz w:val="12"/>
                <w:szCs w:val="12"/>
              </w:rPr>
              <w:t>註2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131,177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17,452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11,491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臺中市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11,872</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12,330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34,269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106,954</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43,935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125,304</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454,991</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125,338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17,076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71,145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14,707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49,761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75,521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29,323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62,644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116,476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29,571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40,000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98,395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20,311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臺南市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205,305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24,568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71,865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6,111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13,970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27,850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31,899</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高雄市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15,779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71,960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128,910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12,014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23,059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31,165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20,160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新竹縣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38,306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12,374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2,403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4,876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6,499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5,526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苗栗縣</w:t>
            </w:r>
            <w:r w:rsidRPr="005B62B6">
              <w:rPr>
                <w:sz w:val="12"/>
                <w:szCs w:val="12"/>
              </w:rPr>
              <w:t>註3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1,480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16,261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2,622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8,994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7,006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彰化縣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8,755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38,980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5,429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5,946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10,251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36,949</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南投縣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5,554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19,275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32,726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2,816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8,914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7,762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7,586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雲林縣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11,635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24,047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4,387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3,695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8,381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12,411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嘉義縣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789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12,209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17,791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屏東縣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5,715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31,029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46,712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8,074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11,721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9,508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宜蘭縣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5,108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16,268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30,555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4,133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12,618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花蓮縣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4,397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28,892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6,782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5,328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臺東縣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972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8,111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3,277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3,834</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澎湖縣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1,278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2,187</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基隆市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2,329</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13,550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13,824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61,218</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16,757</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164,681</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6,101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51,677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1,837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16,846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10,181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1,351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11,305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650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新竹市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3,043</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673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12,905</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66,360</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10,793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25,459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1,536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7,668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28,923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24,206</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2,200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嘉義市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15,532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金門縣</w:t>
            </w:r>
            <w:r w:rsidRPr="005B62B6">
              <w:rPr>
                <w:sz w:val="12"/>
                <w:szCs w:val="12"/>
              </w:rPr>
              <w:t>註4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2,331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426</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1,272</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4,660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1,771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1,897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2,342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3,543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3,590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8,216</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1,960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連江縣</w:t>
            </w:r>
            <w:r w:rsidRPr="005B62B6">
              <w:rPr>
                <w:sz w:val="12"/>
                <w:szCs w:val="12"/>
              </w:rPr>
              <w:t>註5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102</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74</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合計</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66,726</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102,963</w:t>
            </w:r>
          </w:p>
        </w:tc>
        <w:tc>
          <w:tcPr>
            <w:tcW w:w="681"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306,738</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113,845</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603,882</w:t>
            </w:r>
          </w:p>
        </w:tc>
        <w:tc>
          <w:tcPr>
            <w:tcW w:w="681"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366,287</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211,805</w:t>
            </w:r>
          </w:p>
        </w:tc>
        <w:tc>
          <w:tcPr>
            <w:tcW w:w="85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1,597,235</w:t>
            </w:r>
          </w:p>
        </w:tc>
        <w:tc>
          <w:tcPr>
            <w:tcW w:w="682"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649,834</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28,032</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242,047</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206,741</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62,915</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201,985</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144,420</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92,777</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401,056</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204,111</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60,192</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349,428</w:t>
            </w:r>
          </w:p>
        </w:tc>
        <w:tc>
          <w:tcPr>
            <w:tcW w:w="682"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219,987</w:t>
            </w:r>
          </w:p>
        </w:tc>
      </w:tr>
      <w:tr w:rsidR="005B62B6" w:rsidRPr="005B62B6" w:rsidTr="00386484">
        <w:trPr>
          <w:cantSplit/>
          <w:trHeight w:val="20"/>
          <w:jc w:val="center"/>
        </w:trPr>
        <w:tc>
          <w:tcPr>
            <w:tcW w:w="9068" w:type="dxa"/>
            <w:gridSpan w:val="13"/>
            <w:shd w:val="clear" w:color="auto" w:fill="auto"/>
            <w:noWrap/>
            <w:vAlign w:val="center"/>
          </w:tcPr>
          <w:p w:rsidR="00C75446" w:rsidRPr="005B62B6" w:rsidRDefault="00C75446" w:rsidP="00E40594">
            <w:pPr>
              <w:pStyle w:val="120"/>
              <w:spacing w:line="260" w:lineRule="exact"/>
              <w:jc w:val="right"/>
              <w:rPr>
                <w:b/>
                <w:sz w:val="20"/>
                <w:szCs w:val="20"/>
              </w:rPr>
            </w:pPr>
            <w:r w:rsidRPr="005B62B6">
              <w:rPr>
                <w:rFonts w:hint="eastAsia"/>
                <w:b/>
                <w:sz w:val="20"/>
                <w:szCs w:val="20"/>
              </w:rPr>
              <w:t>88.12.29前各縣市核發之執照數</w:t>
            </w:r>
            <w:r w:rsidR="00E40594" w:rsidRPr="005B62B6">
              <w:rPr>
                <w:rFonts w:hint="eastAsia"/>
                <w:b/>
                <w:sz w:val="20"/>
                <w:szCs w:val="20"/>
              </w:rPr>
              <w:t xml:space="preserve">小計 </w:t>
            </w:r>
            <w:r w:rsidRPr="005B62B6">
              <w:rPr>
                <w:rFonts w:hint="eastAsia"/>
                <w:b/>
                <w:sz w:val="20"/>
                <w:szCs w:val="20"/>
              </w:rPr>
              <w:t>1</w:t>
            </w:r>
            <w:r w:rsidR="00394C3A" w:rsidRPr="005B62B6">
              <w:rPr>
                <w:rFonts w:hint="eastAsia"/>
                <w:b/>
                <w:sz w:val="20"/>
                <w:szCs w:val="20"/>
              </w:rPr>
              <w:t>,</w:t>
            </w:r>
            <w:r w:rsidRPr="005B62B6">
              <w:rPr>
                <w:rFonts w:hint="eastAsia"/>
                <w:b/>
                <w:sz w:val="20"/>
                <w:szCs w:val="20"/>
              </w:rPr>
              <w:t>529</w:t>
            </w:r>
            <w:r w:rsidR="00394C3A" w:rsidRPr="005B62B6">
              <w:rPr>
                <w:b/>
                <w:sz w:val="20"/>
                <w:szCs w:val="20"/>
              </w:rPr>
              <w:t>,</w:t>
            </w:r>
            <w:r w:rsidRPr="005B62B6">
              <w:rPr>
                <w:rFonts w:hint="eastAsia"/>
                <w:b/>
                <w:sz w:val="20"/>
                <w:szCs w:val="20"/>
              </w:rPr>
              <w:t>600</w:t>
            </w:r>
            <w:r w:rsidR="00E40594" w:rsidRPr="005B62B6">
              <w:rPr>
                <w:rFonts w:hint="eastAsia"/>
                <w:b/>
                <w:sz w:val="20"/>
                <w:szCs w:val="20"/>
              </w:rPr>
              <w:t xml:space="preserve"> </w:t>
            </w:r>
            <w:r w:rsidRPr="005B62B6">
              <w:rPr>
                <w:rFonts w:hint="eastAsia"/>
                <w:b/>
                <w:sz w:val="20"/>
                <w:szCs w:val="20"/>
              </w:rPr>
              <w:t>件</w:t>
            </w:r>
          </w:p>
        </w:tc>
        <w:tc>
          <w:tcPr>
            <w:tcW w:w="6122" w:type="dxa"/>
            <w:gridSpan w:val="9"/>
            <w:shd w:val="clear" w:color="auto" w:fill="auto"/>
            <w:noWrap/>
            <w:vAlign w:val="center"/>
          </w:tcPr>
          <w:p w:rsidR="00C75446" w:rsidRPr="005B62B6" w:rsidRDefault="00394C3A" w:rsidP="00394C3A">
            <w:pPr>
              <w:pStyle w:val="120"/>
              <w:spacing w:line="260" w:lineRule="exact"/>
              <w:jc w:val="right"/>
              <w:rPr>
                <w:b/>
                <w:sz w:val="20"/>
                <w:szCs w:val="20"/>
              </w:rPr>
            </w:pPr>
            <w:r w:rsidRPr="005B62B6">
              <w:rPr>
                <w:rFonts w:hint="eastAsia"/>
                <w:b/>
                <w:sz w:val="20"/>
                <w:szCs w:val="20"/>
              </w:rPr>
              <w:t>所有執照數合計</w:t>
            </w:r>
            <w:r w:rsidR="00E40594" w:rsidRPr="005B62B6">
              <w:rPr>
                <w:rFonts w:hint="eastAsia"/>
                <w:b/>
                <w:sz w:val="20"/>
                <w:szCs w:val="20"/>
              </w:rPr>
              <w:t xml:space="preserve"> </w:t>
            </w:r>
            <w:r w:rsidRPr="005B62B6">
              <w:rPr>
                <w:rFonts w:hint="eastAsia"/>
                <w:b/>
                <w:sz w:val="20"/>
                <w:szCs w:val="20"/>
              </w:rPr>
              <w:t>2,098,118</w:t>
            </w:r>
            <w:r w:rsidR="00E40594" w:rsidRPr="005B62B6">
              <w:rPr>
                <w:rFonts w:hint="eastAsia"/>
                <w:b/>
                <w:sz w:val="20"/>
                <w:szCs w:val="20"/>
              </w:rPr>
              <w:t xml:space="preserve"> </w:t>
            </w:r>
            <w:r w:rsidRPr="005B62B6">
              <w:rPr>
                <w:rFonts w:hint="eastAsia"/>
                <w:b/>
                <w:sz w:val="20"/>
                <w:szCs w:val="20"/>
              </w:rPr>
              <w:t>件</w:t>
            </w:r>
          </w:p>
        </w:tc>
      </w:tr>
    </w:tbl>
    <w:p w:rsidR="00C778F7" w:rsidRPr="005B62B6" w:rsidRDefault="00C778F7" w:rsidP="00F46A85">
      <w:pPr>
        <w:pStyle w:val="120"/>
      </w:pPr>
      <w:r w:rsidRPr="005B62B6">
        <w:rPr>
          <w:rFonts w:hint="eastAsia"/>
        </w:rPr>
        <w:t>註1：新北市填報之棟數及戶數係為建造執照登載數量統計，惟部分建造執照未登載棟數及戶數。</w:t>
      </w:r>
    </w:p>
    <w:p w:rsidR="00C778F7" w:rsidRPr="005B62B6" w:rsidRDefault="00C778F7" w:rsidP="00F46A85">
      <w:pPr>
        <w:pStyle w:val="120"/>
      </w:pPr>
      <w:r w:rsidRPr="005B62B6">
        <w:rPr>
          <w:rFonts w:hint="eastAsia"/>
        </w:rPr>
        <w:t>註2：桃園市統計日期及數字：88.12.31以前：131177照、89.1.1~93.12.31：13005照、94.1.1~100.12.31：17452照、101.1.1以後：11491照。</w:t>
      </w:r>
    </w:p>
    <w:p w:rsidR="00C778F7" w:rsidRPr="005B62B6" w:rsidRDefault="00C778F7" w:rsidP="00F46A85">
      <w:pPr>
        <w:pStyle w:val="120"/>
      </w:pPr>
      <w:r w:rsidRPr="005B62B6">
        <w:rPr>
          <w:rFonts w:hint="eastAsia"/>
        </w:rPr>
        <w:t>註3：苗栗縣表示，71~91年間有諸多執照資料尚未建置至系統。</w:t>
      </w:r>
    </w:p>
    <w:p w:rsidR="00C778F7" w:rsidRPr="005B62B6" w:rsidRDefault="00C778F7" w:rsidP="00F46A85">
      <w:pPr>
        <w:pStyle w:val="120"/>
      </w:pPr>
      <w:r w:rsidRPr="005B62B6">
        <w:rPr>
          <w:rFonts w:hint="eastAsia"/>
        </w:rPr>
        <w:t>註4：金門縣85.1.31前為戰地任務，核發之建築令無棟、戶資料。</w:t>
      </w:r>
    </w:p>
    <w:p w:rsidR="00C778F7" w:rsidRPr="005B62B6" w:rsidRDefault="00C778F7" w:rsidP="00F46A85">
      <w:pPr>
        <w:pStyle w:val="120"/>
      </w:pPr>
      <w:r w:rsidRPr="005B62B6">
        <w:rPr>
          <w:rFonts w:hint="eastAsia"/>
        </w:rPr>
        <w:t>註5：連江縣建使照核發系統僅列管100年以後之案件。</w:t>
      </w:r>
    </w:p>
    <w:p w:rsidR="008C786C" w:rsidRPr="005B62B6" w:rsidRDefault="008C786C" w:rsidP="00897532">
      <w:pPr>
        <w:pStyle w:val="af5"/>
        <w:rPr>
          <w:szCs w:val="24"/>
        </w:rPr>
      </w:pPr>
      <w:r w:rsidRPr="005B62B6">
        <w:rPr>
          <w:rFonts w:hint="eastAsia"/>
          <w:szCs w:val="24"/>
        </w:rPr>
        <w:t>資料來源：營建署</w:t>
      </w:r>
      <w:r w:rsidR="00C778F7" w:rsidRPr="005B62B6">
        <w:rPr>
          <w:rFonts w:hint="eastAsia"/>
          <w:szCs w:val="24"/>
        </w:rPr>
        <w:t>。</w:t>
      </w:r>
    </w:p>
    <w:p w:rsidR="008C786C" w:rsidRPr="005B62B6" w:rsidRDefault="008C786C">
      <w:pPr>
        <w:widowControl/>
        <w:overflowPunct/>
        <w:autoSpaceDE/>
        <w:autoSpaceDN/>
        <w:jc w:val="left"/>
        <w:rPr>
          <w:bCs/>
        </w:rPr>
        <w:sectPr w:rsidR="008C786C" w:rsidRPr="005B62B6" w:rsidSect="00C86265">
          <w:pgSz w:w="16840" w:h="11907" w:orient="landscape" w:code="9"/>
          <w:pgMar w:top="1418" w:right="1418" w:bottom="1418" w:left="1701" w:header="851" w:footer="851" w:gutter="227"/>
          <w:cols w:space="425"/>
          <w:docGrid w:type="linesAndChars" w:linePitch="457" w:charSpace="4127"/>
        </w:sectPr>
      </w:pPr>
    </w:p>
    <w:p w:rsidR="008C786C" w:rsidRPr="005B62B6" w:rsidRDefault="008C786C" w:rsidP="00523B7C">
      <w:pPr>
        <w:pStyle w:val="a0"/>
        <w:numPr>
          <w:ilvl w:val="0"/>
          <w:numId w:val="3"/>
        </w:numPr>
        <w:tabs>
          <w:tab w:val="clear" w:pos="1440"/>
        </w:tabs>
        <w:ind w:left="1361" w:hangingChars="400" w:hanging="1361"/>
        <w:rPr>
          <w:bCs/>
        </w:rPr>
      </w:pPr>
      <w:r w:rsidRPr="005B62B6">
        <w:rPr>
          <w:rFonts w:hint="eastAsia"/>
          <w:bCs/>
        </w:rPr>
        <w:lastRenderedPageBreak/>
        <w:t>各</w:t>
      </w:r>
      <w:r w:rsidR="005B62B6" w:rsidRPr="005B62B6">
        <w:rPr>
          <w:rFonts w:hAnsi="標楷體" w:hint="eastAsia"/>
        </w:rPr>
        <w:t>直轄市、縣(市)</w:t>
      </w:r>
      <w:r w:rsidRPr="005B62B6">
        <w:rPr>
          <w:rFonts w:hint="eastAsia"/>
          <w:bCs/>
        </w:rPr>
        <w:t>現有供公眾使用及非</w:t>
      </w:r>
      <w:r w:rsidR="00AE54B1" w:rsidRPr="005B62B6">
        <w:rPr>
          <w:rFonts w:hint="eastAsia"/>
          <w:bCs/>
        </w:rPr>
        <w:t>供</w:t>
      </w:r>
      <w:r w:rsidRPr="005B62B6">
        <w:rPr>
          <w:rFonts w:hint="eastAsia"/>
          <w:bCs/>
        </w:rPr>
        <w:t>公眾使用建築物棟(戶)數量統計表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326347">
            <w:pPr>
              <w:pStyle w:val="12"/>
            </w:pPr>
            <w:r w:rsidRPr="005B62B6">
              <w:t>縣市別</w:t>
            </w:r>
          </w:p>
        </w:tc>
        <w:tc>
          <w:tcPr>
            <w:tcW w:w="3912" w:type="dxa"/>
            <w:gridSpan w:val="3"/>
            <w:shd w:val="clear" w:color="auto" w:fill="auto"/>
            <w:noWrap/>
            <w:vAlign w:val="center"/>
            <w:hideMark/>
          </w:tcPr>
          <w:p w:rsidR="00144949" w:rsidRPr="005B62B6" w:rsidRDefault="00144949" w:rsidP="00F0386B">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F0386B">
            <w:pPr>
              <w:pStyle w:val="12"/>
              <w:spacing w:before="0" w:after="0"/>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326347">
            <w:pPr>
              <w:pStyle w:val="12"/>
            </w:pPr>
          </w:p>
        </w:tc>
        <w:tc>
          <w:tcPr>
            <w:tcW w:w="1304" w:type="dxa"/>
            <w:shd w:val="clear" w:color="auto" w:fill="auto"/>
            <w:noWrap/>
            <w:vAlign w:val="center"/>
            <w:hideMark/>
          </w:tcPr>
          <w:p w:rsidR="00144949" w:rsidRPr="005B62B6" w:rsidRDefault="00144949" w:rsidP="00F0386B">
            <w:pPr>
              <w:pStyle w:val="12"/>
              <w:spacing w:before="0" w:after="0"/>
            </w:pPr>
            <w:r w:rsidRPr="005B62B6">
              <w:t>棟</w:t>
            </w:r>
          </w:p>
        </w:tc>
        <w:tc>
          <w:tcPr>
            <w:tcW w:w="1304" w:type="dxa"/>
            <w:shd w:val="clear" w:color="auto" w:fill="auto"/>
            <w:noWrap/>
            <w:vAlign w:val="center"/>
            <w:hideMark/>
          </w:tcPr>
          <w:p w:rsidR="00144949" w:rsidRPr="005B62B6" w:rsidRDefault="00144949" w:rsidP="00F0386B">
            <w:pPr>
              <w:pStyle w:val="12"/>
              <w:spacing w:before="0" w:after="0"/>
            </w:pPr>
            <w:r w:rsidRPr="005B62B6">
              <w:t>戶</w:t>
            </w:r>
          </w:p>
        </w:tc>
        <w:tc>
          <w:tcPr>
            <w:tcW w:w="1304" w:type="dxa"/>
            <w:shd w:val="clear" w:color="auto" w:fill="auto"/>
            <w:noWrap/>
            <w:vAlign w:val="center"/>
            <w:hideMark/>
          </w:tcPr>
          <w:p w:rsidR="00144949" w:rsidRPr="005B62B6" w:rsidRDefault="00144949" w:rsidP="00F0386B">
            <w:pPr>
              <w:pStyle w:val="12"/>
              <w:spacing w:before="0" w:after="0"/>
            </w:pPr>
            <w:r w:rsidRPr="005B62B6">
              <w:t>執照數</w:t>
            </w:r>
          </w:p>
        </w:tc>
        <w:tc>
          <w:tcPr>
            <w:tcW w:w="1304" w:type="dxa"/>
            <w:shd w:val="clear" w:color="auto" w:fill="auto"/>
            <w:noWrap/>
            <w:vAlign w:val="center"/>
            <w:hideMark/>
          </w:tcPr>
          <w:p w:rsidR="00144949" w:rsidRPr="005B62B6" w:rsidRDefault="00144949" w:rsidP="00F0386B">
            <w:pPr>
              <w:pStyle w:val="12"/>
              <w:spacing w:before="0" w:after="0"/>
            </w:pPr>
            <w:r w:rsidRPr="005B62B6">
              <w:t>棟</w:t>
            </w:r>
          </w:p>
        </w:tc>
        <w:tc>
          <w:tcPr>
            <w:tcW w:w="1304" w:type="dxa"/>
            <w:shd w:val="clear" w:color="auto" w:fill="auto"/>
            <w:noWrap/>
            <w:vAlign w:val="center"/>
            <w:hideMark/>
          </w:tcPr>
          <w:p w:rsidR="00144949" w:rsidRPr="005B62B6" w:rsidRDefault="00144949" w:rsidP="00F0386B">
            <w:pPr>
              <w:pStyle w:val="12"/>
              <w:spacing w:before="0" w:after="0"/>
            </w:pPr>
            <w:r w:rsidRPr="005B62B6">
              <w:t>戶</w:t>
            </w:r>
          </w:p>
        </w:tc>
        <w:tc>
          <w:tcPr>
            <w:tcW w:w="1304" w:type="dxa"/>
            <w:shd w:val="clear" w:color="auto" w:fill="auto"/>
            <w:noWrap/>
            <w:vAlign w:val="center"/>
            <w:hideMark/>
          </w:tcPr>
          <w:p w:rsidR="00144949" w:rsidRPr="005B62B6" w:rsidRDefault="00144949" w:rsidP="00F0386B">
            <w:pPr>
              <w:pStyle w:val="12"/>
              <w:spacing w:before="0" w:after="0"/>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6648C9">
            <w:pPr>
              <w:pStyle w:val="120"/>
              <w:jc w:val="center"/>
            </w:pPr>
            <w:r w:rsidRPr="005B62B6">
              <w:t>51,748</w:t>
            </w:r>
          </w:p>
        </w:tc>
        <w:tc>
          <w:tcPr>
            <w:tcW w:w="1304" w:type="dxa"/>
            <w:shd w:val="clear" w:color="auto" w:fill="auto"/>
            <w:noWrap/>
            <w:vAlign w:val="center"/>
            <w:hideMark/>
          </w:tcPr>
          <w:p w:rsidR="00144949" w:rsidRPr="005B62B6" w:rsidRDefault="00144949" w:rsidP="006648C9">
            <w:pPr>
              <w:pStyle w:val="120"/>
              <w:jc w:val="center"/>
            </w:pPr>
            <w:r w:rsidRPr="005B62B6">
              <w:t>706,914</w:t>
            </w:r>
          </w:p>
        </w:tc>
        <w:tc>
          <w:tcPr>
            <w:tcW w:w="1304" w:type="dxa"/>
            <w:shd w:val="clear" w:color="auto" w:fill="auto"/>
            <w:noWrap/>
            <w:vAlign w:val="center"/>
            <w:hideMark/>
          </w:tcPr>
          <w:p w:rsidR="00144949" w:rsidRPr="005B62B6" w:rsidRDefault="00144949" w:rsidP="006648C9">
            <w:pPr>
              <w:pStyle w:val="120"/>
              <w:jc w:val="center"/>
            </w:pPr>
            <w:r w:rsidRPr="005B62B6">
              <w:t>35,474</w:t>
            </w:r>
          </w:p>
        </w:tc>
        <w:tc>
          <w:tcPr>
            <w:tcW w:w="1304" w:type="dxa"/>
            <w:shd w:val="clear" w:color="auto" w:fill="auto"/>
            <w:noWrap/>
            <w:vAlign w:val="center"/>
            <w:hideMark/>
          </w:tcPr>
          <w:p w:rsidR="00144949" w:rsidRPr="005B62B6" w:rsidRDefault="00144949" w:rsidP="006648C9">
            <w:pPr>
              <w:pStyle w:val="120"/>
              <w:jc w:val="center"/>
            </w:pPr>
            <w:r w:rsidRPr="005B62B6">
              <w:t>44,155</w:t>
            </w:r>
          </w:p>
        </w:tc>
        <w:tc>
          <w:tcPr>
            <w:tcW w:w="1304" w:type="dxa"/>
            <w:shd w:val="clear" w:color="auto" w:fill="auto"/>
            <w:noWrap/>
            <w:vAlign w:val="center"/>
            <w:hideMark/>
          </w:tcPr>
          <w:p w:rsidR="00144949" w:rsidRPr="005B62B6" w:rsidRDefault="00144949" w:rsidP="006648C9">
            <w:pPr>
              <w:pStyle w:val="120"/>
              <w:jc w:val="center"/>
            </w:pPr>
            <w:r w:rsidRPr="005B62B6">
              <w:t>250,611</w:t>
            </w:r>
          </w:p>
        </w:tc>
        <w:tc>
          <w:tcPr>
            <w:tcW w:w="1304" w:type="dxa"/>
            <w:shd w:val="clear" w:color="auto" w:fill="auto"/>
            <w:noWrap/>
            <w:vAlign w:val="center"/>
            <w:hideMark/>
          </w:tcPr>
          <w:p w:rsidR="00144949" w:rsidRPr="005B62B6" w:rsidRDefault="00144949" w:rsidP="006648C9">
            <w:pPr>
              <w:pStyle w:val="120"/>
              <w:jc w:val="center"/>
            </w:pPr>
            <w:r w:rsidRPr="005B62B6">
              <w:t>24,508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6648C9">
            <w:pPr>
              <w:pStyle w:val="120"/>
              <w:jc w:val="center"/>
            </w:pPr>
            <w:r w:rsidRPr="005B62B6">
              <w:t>12,443</w:t>
            </w:r>
          </w:p>
        </w:tc>
        <w:tc>
          <w:tcPr>
            <w:tcW w:w="1304" w:type="dxa"/>
            <w:shd w:val="clear" w:color="auto" w:fill="auto"/>
            <w:noWrap/>
            <w:vAlign w:val="center"/>
            <w:hideMark/>
          </w:tcPr>
          <w:p w:rsidR="00144949" w:rsidRPr="005B62B6" w:rsidRDefault="00144949" w:rsidP="006648C9">
            <w:pPr>
              <w:pStyle w:val="120"/>
              <w:jc w:val="center"/>
            </w:pPr>
            <w:r w:rsidRPr="005B62B6">
              <w:t>308,285</w:t>
            </w:r>
          </w:p>
        </w:tc>
        <w:tc>
          <w:tcPr>
            <w:tcW w:w="1304" w:type="dxa"/>
            <w:shd w:val="clear" w:color="auto" w:fill="auto"/>
            <w:noWrap/>
            <w:vAlign w:val="center"/>
            <w:hideMark/>
          </w:tcPr>
          <w:p w:rsidR="00144949" w:rsidRPr="005B62B6" w:rsidRDefault="00144949" w:rsidP="006648C9">
            <w:pPr>
              <w:pStyle w:val="120"/>
              <w:jc w:val="center"/>
            </w:pPr>
            <w:r w:rsidRPr="005B62B6">
              <w:t>5,958</w:t>
            </w:r>
          </w:p>
        </w:tc>
        <w:tc>
          <w:tcPr>
            <w:tcW w:w="1304" w:type="dxa"/>
            <w:shd w:val="clear" w:color="auto" w:fill="auto"/>
            <w:noWrap/>
            <w:vAlign w:val="center"/>
            <w:hideMark/>
          </w:tcPr>
          <w:p w:rsidR="00144949" w:rsidRPr="005B62B6" w:rsidRDefault="00144949" w:rsidP="006648C9">
            <w:pPr>
              <w:pStyle w:val="120"/>
              <w:jc w:val="center"/>
            </w:pPr>
            <w:r w:rsidRPr="005B62B6">
              <w:t>10,943</w:t>
            </w:r>
          </w:p>
        </w:tc>
        <w:tc>
          <w:tcPr>
            <w:tcW w:w="1304" w:type="dxa"/>
            <w:shd w:val="clear" w:color="auto" w:fill="auto"/>
            <w:noWrap/>
            <w:vAlign w:val="center"/>
            <w:hideMark/>
          </w:tcPr>
          <w:p w:rsidR="00144949" w:rsidRPr="005B62B6" w:rsidRDefault="00144949" w:rsidP="006648C9">
            <w:pPr>
              <w:pStyle w:val="120"/>
              <w:jc w:val="center"/>
            </w:pPr>
            <w:r w:rsidRPr="005B62B6">
              <w:t>31,801</w:t>
            </w:r>
          </w:p>
        </w:tc>
        <w:tc>
          <w:tcPr>
            <w:tcW w:w="1304" w:type="dxa"/>
            <w:shd w:val="clear" w:color="auto" w:fill="auto"/>
            <w:noWrap/>
            <w:vAlign w:val="center"/>
            <w:hideMark/>
          </w:tcPr>
          <w:p w:rsidR="00144949" w:rsidRPr="005B62B6" w:rsidRDefault="00144949" w:rsidP="006648C9">
            <w:pPr>
              <w:pStyle w:val="120"/>
              <w:jc w:val="center"/>
            </w:pPr>
            <w:r w:rsidRPr="005B62B6">
              <w:t>5,343</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桃園市</w:t>
            </w:r>
            <w:r w:rsidRPr="005B62B6">
              <w:rPr>
                <w:sz w:val="16"/>
                <w:szCs w:val="16"/>
              </w:rPr>
              <w:t>註3</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4,990</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18,006</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臺中市</w:t>
            </w:r>
          </w:p>
        </w:tc>
        <w:tc>
          <w:tcPr>
            <w:tcW w:w="1304" w:type="dxa"/>
            <w:shd w:val="clear" w:color="auto" w:fill="auto"/>
            <w:noWrap/>
            <w:vAlign w:val="center"/>
            <w:hideMark/>
          </w:tcPr>
          <w:p w:rsidR="00144949" w:rsidRPr="005B62B6" w:rsidRDefault="00144949" w:rsidP="006648C9">
            <w:pPr>
              <w:pStyle w:val="120"/>
              <w:jc w:val="center"/>
            </w:pPr>
            <w:r w:rsidRPr="005B62B6">
              <w:t>14,399</w:t>
            </w:r>
          </w:p>
        </w:tc>
        <w:tc>
          <w:tcPr>
            <w:tcW w:w="1304" w:type="dxa"/>
            <w:shd w:val="clear" w:color="auto" w:fill="auto"/>
            <w:noWrap/>
            <w:vAlign w:val="center"/>
            <w:hideMark/>
          </w:tcPr>
          <w:p w:rsidR="00144949" w:rsidRPr="005B62B6" w:rsidRDefault="00144949" w:rsidP="006648C9">
            <w:pPr>
              <w:pStyle w:val="120"/>
              <w:jc w:val="center"/>
            </w:pPr>
            <w:r w:rsidRPr="005B62B6">
              <w:t>161,381</w:t>
            </w:r>
          </w:p>
        </w:tc>
        <w:tc>
          <w:tcPr>
            <w:tcW w:w="1304" w:type="dxa"/>
            <w:shd w:val="clear" w:color="auto" w:fill="auto"/>
            <w:noWrap/>
            <w:vAlign w:val="center"/>
            <w:hideMark/>
          </w:tcPr>
          <w:p w:rsidR="00144949" w:rsidRPr="005B62B6" w:rsidRDefault="00144949" w:rsidP="006648C9">
            <w:pPr>
              <w:pStyle w:val="120"/>
              <w:jc w:val="center"/>
            </w:pPr>
            <w:r w:rsidRPr="005B62B6">
              <w:t>9,330</w:t>
            </w:r>
          </w:p>
        </w:tc>
        <w:tc>
          <w:tcPr>
            <w:tcW w:w="1304" w:type="dxa"/>
            <w:shd w:val="clear" w:color="auto" w:fill="auto"/>
            <w:noWrap/>
            <w:vAlign w:val="center"/>
            <w:hideMark/>
          </w:tcPr>
          <w:p w:rsidR="00144949" w:rsidRPr="005B62B6" w:rsidRDefault="00144949" w:rsidP="006648C9">
            <w:pPr>
              <w:pStyle w:val="120"/>
              <w:jc w:val="center"/>
            </w:pPr>
            <w:r w:rsidRPr="005B62B6">
              <w:t>190,368</w:t>
            </w:r>
          </w:p>
        </w:tc>
        <w:tc>
          <w:tcPr>
            <w:tcW w:w="1304" w:type="dxa"/>
            <w:shd w:val="clear" w:color="auto" w:fill="auto"/>
            <w:noWrap/>
            <w:vAlign w:val="center"/>
            <w:hideMark/>
          </w:tcPr>
          <w:p w:rsidR="00144949" w:rsidRPr="005B62B6" w:rsidRDefault="00144949" w:rsidP="006648C9">
            <w:pPr>
              <w:pStyle w:val="120"/>
              <w:jc w:val="center"/>
            </w:pPr>
            <w:r w:rsidRPr="005B62B6">
              <w:t>253,238</w:t>
            </w:r>
          </w:p>
        </w:tc>
        <w:tc>
          <w:tcPr>
            <w:tcW w:w="1304" w:type="dxa"/>
            <w:shd w:val="clear" w:color="auto" w:fill="auto"/>
            <w:noWrap/>
            <w:vAlign w:val="center"/>
            <w:hideMark/>
          </w:tcPr>
          <w:p w:rsidR="00144949" w:rsidRPr="005B62B6" w:rsidRDefault="00144949" w:rsidP="006648C9">
            <w:pPr>
              <w:pStyle w:val="120"/>
              <w:jc w:val="center"/>
            </w:pPr>
            <w:r w:rsidRPr="005B62B6">
              <w:t>135,108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臺南市</w:t>
            </w:r>
            <w:r w:rsidRPr="005B62B6">
              <w:rPr>
                <w:sz w:val="16"/>
                <w:szCs w:val="16"/>
              </w:rPr>
              <w:t>註4</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24,390</w:t>
            </w:r>
          </w:p>
        </w:tc>
        <w:tc>
          <w:tcPr>
            <w:tcW w:w="1304" w:type="dxa"/>
            <w:shd w:val="clear" w:color="auto" w:fill="auto"/>
            <w:noWrap/>
            <w:vAlign w:val="center"/>
            <w:hideMark/>
          </w:tcPr>
          <w:p w:rsidR="00144949" w:rsidRPr="005B62B6" w:rsidRDefault="00144949" w:rsidP="006648C9">
            <w:pPr>
              <w:pStyle w:val="120"/>
              <w:jc w:val="center"/>
            </w:pPr>
            <w:r w:rsidRPr="005B62B6">
              <w:t>3,186</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58,229</w:t>
            </w:r>
          </w:p>
        </w:tc>
        <w:tc>
          <w:tcPr>
            <w:tcW w:w="1304" w:type="dxa"/>
            <w:shd w:val="clear" w:color="auto" w:fill="auto"/>
            <w:noWrap/>
            <w:vAlign w:val="center"/>
            <w:hideMark/>
          </w:tcPr>
          <w:p w:rsidR="00144949" w:rsidRPr="005B62B6" w:rsidRDefault="00144949" w:rsidP="006648C9">
            <w:pPr>
              <w:pStyle w:val="120"/>
              <w:jc w:val="center"/>
            </w:pPr>
            <w:r w:rsidRPr="005B62B6">
              <w:t>45,242</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高雄市</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14,407</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348,744</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新竹縣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2,215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36,256</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苗栗縣</w:t>
            </w:r>
            <w:r w:rsidRPr="005B62B6">
              <w:rPr>
                <w:sz w:val="16"/>
                <w:szCs w:val="16"/>
              </w:rPr>
              <w:t>註5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3,180</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51,780</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彰化縣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7,101</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103,978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南投縣</w:t>
            </w:r>
            <w:r w:rsidRPr="005B62B6">
              <w:rPr>
                <w:sz w:val="16"/>
                <w:szCs w:val="16"/>
              </w:rPr>
              <w:t>註6</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雲林縣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1,528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63,191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嘉義縣</w:t>
            </w:r>
            <w:r w:rsidRPr="005B62B6">
              <w:rPr>
                <w:sz w:val="16"/>
                <w:szCs w:val="16"/>
              </w:rPr>
              <w:t>註7</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屏東縣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2,304</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112,910</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宜蘭縣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1,818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79,263</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花蓮縣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908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22,459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臺東縣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941</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37,479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澎湖縣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715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11,899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基隆市</w:t>
            </w:r>
            <w:r w:rsidRPr="005B62B6">
              <w:rPr>
                <w:sz w:val="16"/>
                <w:szCs w:val="16"/>
              </w:rPr>
              <w:t>註8</w:t>
            </w:r>
          </w:p>
        </w:tc>
        <w:tc>
          <w:tcPr>
            <w:tcW w:w="1304" w:type="dxa"/>
            <w:shd w:val="clear" w:color="auto" w:fill="auto"/>
            <w:noWrap/>
            <w:vAlign w:val="center"/>
            <w:hideMark/>
          </w:tcPr>
          <w:p w:rsidR="00144949" w:rsidRPr="005B62B6" w:rsidRDefault="00144949" w:rsidP="006648C9">
            <w:pPr>
              <w:pStyle w:val="120"/>
              <w:jc w:val="center"/>
            </w:pPr>
            <w:r w:rsidRPr="005B62B6">
              <w:t>6,380</w:t>
            </w:r>
          </w:p>
        </w:tc>
        <w:tc>
          <w:tcPr>
            <w:tcW w:w="1304" w:type="dxa"/>
            <w:shd w:val="clear" w:color="auto" w:fill="auto"/>
            <w:noWrap/>
            <w:vAlign w:val="center"/>
            <w:hideMark/>
          </w:tcPr>
          <w:p w:rsidR="00144949" w:rsidRPr="005B62B6" w:rsidRDefault="00144949" w:rsidP="006648C9">
            <w:pPr>
              <w:pStyle w:val="120"/>
              <w:jc w:val="center"/>
            </w:pPr>
            <w:r w:rsidRPr="005B62B6">
              <w:t>166,293</w:t>
            </w:r>
          </w:p>
        </w:tc>
        <w:tc>
          <w:tcPr>
            <w:tcW w:w="1304" w:type="dxa"/>
            <w:shd w:val="clear" w:color="auto" w:fill="auto"/>
            <w:noWrap/>
            <w:vAlign w:val="center"/>
            <w:hideMark/>
          </w:tcPr>
          <w:p w:rsidR="00144949" w:rsidRPr="005B62B6" w:rsidRDefault="00144949" w:rsidP="006648C9">
            <w:pPr>
              <w:pStyle w:val="120"/>
              <w:jc w:val="center"/>
            </w:pPr>
            <w:r w:rsidRPr="005B62B6">
              <w:t>2,347</w:t>
            </w:r>
          </w:p>
        </w:tc>
        <w:tc>
          <w:tcPr>
            <w:tcW w:w="1304" w:type="dxa"/>
            <w:shd w:val="clear" w:color="auto" w:fill="auto"/>
            <w:noWrap/>
            <w:vAlign w:val="center"/>
            <w:hideMark/>
          </w:tcPr>
          <w:p w:rsidR="00144949" w:rsidRPr="005B62B6" w:rsidRDefault="00144949" w:rsidP="006648C9">
            <w:pPr>
              <w:pStyle w:val="120"/>
              <w:jc w:val="center"/>
            </w:pPr>
            <w:r w:rsidRPr="005B62B6">
              <w:t>49,974</w:t>
            </w:r>
          </w:p>
        </w:tc>
        <w:tc>
          <w:tcPr>
            <w:tcW w:w="1304" w:type="dxa"/>
            <w:shd w:val="clear" w:color="auto" w:fill="auto"/>
            <w:noWrap/>
            <w:vAlign w:val="center"/>
            <w:hideMark/>
          </w:tcPr>
          <w:p w:rsidR="00144949" w:rsidRPr="005B62B6" w:rsidRDefault="00144949" w:rsidP="006648C9">
            <w:pPr>
              <w:pStyle w:val="120"/>
              <w:jc w:val="center"/>
            </w:pPr>
            <w:r w:rsidRPr="005B62B6">
              <w:t>105,861</w:t>
            </w:r>
          </w:p>
        </w:tc>
        <w:tc>
          <w:tcPr>
            <w:tcW w:w="1304" w:type="dxa"/>
            <w:shd w:val="clear" w:color="auto" w:fill="auto"/>
            <w:noWrap/>
            <w:vAlign w:val="center"/>
            <w:hideMark/>
          </w:tcPr>
          <w:p w:rsidR="00144949" w:rsidRPr="005B62B6" w:rsidRDefault="00144949" w:rsidP="006648C9">
            <w:pPr>
              <w:pStyle w:val="120"/>
              <w:jc w:val="center"/>
            </w:pPr>
            <w:r w:rsidRPr="005B62B6">
              <w:t>28,217</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新竹市</w:t>
            </w:r>
          </w:p>
        </w:tc>
        <w:tc>
          <w:tcPr>
            <w:tcW w:w="1304" w:type="dxa"/>
            <w:shd w:val="clear" w:color="auto" w:fill="auto"/>
            <w:vAlign w:val="center"/>
            <w:hideMark/>
          </w:tcPr>
          <w:p w:rsidR="00144949" w:rsidRPr="005B62B6" w:rsidRDefault="00144949" w:rsidP="006648C9">
            <w:pPr>
              <w:pStyle w:val="120"/>
              <w:jc w:val="center"/>
            </w:pPr>
            <w:r w:rsidRPr="005B62B6">
              <w:t>4,216</w:t>
            </w:r>
          </w:p>
        </w:tc>
        <w:tc>
          <w:tcPr>
            <w:tcW w:w="1304" w:type="dxa"/>
            <w:shd w:val="clear" w:color="auto" w:fill="auto"/>
            <w:vAlign w:val="center"/>
            <w:hideMark/>
          </w:tcPr>
          <w:p w:rsidR="00144949" w:rsidRPr="005B62B6" w:rsidRDefault="00144949" w:rsidP="006648C9">
            <w:pPr>
              <w:pStyle w:val="120"/>
              <w:jc w:val="center"/>
            </w:pPr>
            <w:r w:rsidRPr="005B62B6">
              <w:t>81,109</w:t>
            </w:r>
          </w:p>
        </w:tc>
        <w:tc>
          <w:tcPr>
            <w:tcW w:w="1304" w:type="dxa"/>
            <w:shd w:val="clear" w:color="auto" w:fill="auto"/>
            <w:vAlign w:val="center"/>
            <w:hideMark/>
          </w:tcPr>
          <w:p w:rsidR="00144949" w:rsidRPr="005B62B6" w:rsidRDefault="00144949" w:rsidP="006648C9">
            <w:pPr>
              <w:pStyle w:val="120"/>
              <w:jc w:val="center"/>
            </w:pPr>
            <w:r w:rsidRPr="005B62B6">
              <w:t>1,977</w:t>
            </w:r>
          </w:p>
        </w:tc>
        <w:tc>
          <w:tcPr>
            <w:tcW w:w="1304" w:type="dxa"/>
            <w:shd w:val="clear" w:color="auto" w:fill="auto"/>
            <w:vAlign w:val="center"/>
            <w:hideMark/>
          </w:tcPr>
          <w:p w:rsidR="00144949" w:rsidRPr="005B62B6" w:rsidRDefault="00144949" w:rsidP="006648C9">
            <w:pPr>
              <w:pStyle w:val="120"/>
              <w:jc w:val="center"/>
            </w:pPr>
            <w:r w:rsidRPr="005B62B6">
              <w:t>27,210</w:t>
            </w:r>
          </w:p>
        </w:tc>
        <w:tc>
          <w:tcPr>
            <w:tcW w:w="1304" w:type="dxa"/>
            <w:shd w:val="clear" w:color="auto" w:fill="auto"/>
            <w:noWrap/>
            <w:vAlign w:val="center"/>
            <w:hideMark/>
          </w:tcPr>
          <w:p w:rsidR="00144949" w:rsidRPr="005B62B6" w:rsidRDefault="00144949" w:rsidP="006648C9">
            <w:pPr>
              <w:pStyle w:val="120"/>
              <w:jc w:val="center"/>
            </w:pPr>
            <w:r w:rsidRPr="005B62B6">
              <w:t>84,033</w:t>
            </w:r>
          </w:p>
        </w:tc>
        <w:tc>
          <w:tcPr>
            <w:tcW w:w="1304" w:type="dxa"/>
            <w:shd w:val="clear" w:color="auto" w:fill="auto"/>
            <w:noWrap/>
            <w:vAlign w:val="center"/>
            <w:hideMark/>
          </w:tcPr>
          <w:p w:rsidR="00144949" w:rsidRPr="005B62B6" w:rsidRDefault="00144949" w:rsidP="006648C9">
            <w:pPr>
              <w:pStyle w:val="120"/>
              <w:jc w:val="center"/>
            </w:pPr>
            <w:r w:rsidRPr="005B62B6">
              <w:t>17,301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嘉義市</w:t>
            </w: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vAlign w:val="center"/>
            <w:hideMark/>
          </w:tcPr>
          <w:p w:rsidR="00144949" w:rsidRPr="005B62B6" w:rsidRDefault="00144949" w:rsidP="006648C9">
            <w:pPr>
              <w:pStyle w:val="120"/>
              <w:jc w:val="center"/>
            </w:pPr>
            <w:r w:rsidRPr="005B62B6">
              <w:t>600</w:t>
            </w: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26,965</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金門縣</w:t>
            </w:r>
          </w:p>
        </w:tc>
        <w:tc>
          <w:tcPr>
            <w:tcW w:w="1304" w:type="dxa"/>
            <w:shd w:val="clear" w:color="auto" w:fill="auto"/>
            <w:noWrap/>
            <w:vAlign w:val="center"/>
            <w:hideMark/>
          </w:tcPr>
          <w:p w:rsidR="00144949" w:rsidRPr="005B62B6" w:rsidRDefault="00144949" w:rsidP="006648C9">
            <w:pPr>
              <w:pStyle w:val="120"/>
              <w:jc w:val="center"/>
            </w:pPr>
            <w:r w:rsidRPr="005B62B6">
              <w:t>409</w:t>
            </w:r>
          </w:p>
        </w:tc>
        <w:tc>
          <w:tcPr>
            <w:tcW w:w="1304" w:type="dxa"/>
            <w:shd w:val="clear" w:color="auto" w:fill="auto"/>
            <w:noWrap/>
            <w:vAlign w:val="center"/>
            <w:hideMark/>
          </w:tcPr>
          <w:p w:rsidR="00144949" w:rsidRPr="005B62B6" w:rsidRDefault="00144949" w:rsidP="006648C9">
            <w:pPr>
              <w:pStyle w:val="120"/>
              <w:jc w:val="center"/>
            </w:pPr>
            <w:r w:rsidRPr="005B62B6">
              <w:t>1,896</w:t>
            </w:r>
          </w:p>
        </w:tc>
        <w:tc>
          <w:tcPr>
            <w:tcW w:w="1304" w:type="dxa"/>
            <w:shd w:val="clear" w:color="auto" w:fill="auto"/>
            <w:noWrap/>
            <w:vAlign w:val="center"/>
            <w:hideMark/>
          </w:tcPr>
          <w:p w:rsidR="00144949" w:rsidRPr="005B62B6" w:rsidRDefault="00144949" w:rsidP="006648C9">
            <w:pPr>
              <w:pStyle w:val="120"/>
              <w:jc w:val="center"/>
            </w:pPr>
            <w:r w:rsidRPr="005B62B6">
              <w:t>293</w:t>
            </w:r>
          </w:p>
        </w:tc>
        <w:tc>
          <w:tcPr>
            <w:tcW w:w="1304" w:type="dxa"/>
            <w:shd w:val="clear" w:color="auto" w:fill="auto"/>
            <w:noWrap/>
            <w:vAlign w:val="center"/>
            <w:hideMark/>
          </w:tcPr>
          <w:p w:rsidR="00144949" w:rsidRPr="005B62B6" w:rsidRDefault="00144949" w:rsidP="006648C9">
            <w:pPr>
              <w:pStyle w:val="120"/>
              <w:jc w:val="center"/>
            </w:pPr>
            <w:r w:rsidRPr="005B62B6">
              <w:t>4,570</w:t>
            </w:r>
          </w:p>
        </w:tc>
        <w:tc>
          <w:tcPr>
            <w:tcW w:w="1304" w:type="dxa"/>
            <w:shd w:val="clear" w:color="auto" w:fill="auto"/>
            <w:noWrap/>
            <w:vAlign w:val="center"/>
            <w:hideMark/>
          </w:tcPr>
          <w:p w:rsidR="00144949" w:rsidRPr="005B62B6" w:rsidRDefault="00144949" w:rsidP="006648C9">
            <w:pPr>
              <w:pStyle w:val="120"/>
              <w:jc w:val="center"/>
            </w:pPr>
            <w:r w:rsidRPr="005B62B6">
              <w:t>8,412</w:t>
            </w:r>
          </w:p>
        </w:tc>
        <w:tc>
          <w:tcPr>
            <w:tcW w:w="1304" w:type="dxa"/>
            <w:shd w:val="clear" w:color="auto" w:fill="auto"/>
            <w:noWrap/>
            <w:vAlign w:val="center"/>
            <w:hideMark/>
          </w:tcPr>
          <w:p w:rsidR="00144949" w:rsidRPr="005B62B6" w:rsidRDefault="00144949" w:rsidP="006648C9">
            <w:pPr>
              <w:pStyle w:val="120"/>
              <w:jc w:val="center"/>
            </w:pPr>
            <w:r w:rsidRPr="005B62B6">
              <w:t>2,477</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連江縣</w:t>
            </w:r>
            <w:r w:rsidRPr="005B62B6">
              <w:rPr>
                <w:sz w:val="16"/>
                <w:szCs w:val="16"/>
              </w:rPr>
              <w:t>註9</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33</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41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合計</w:t>
            </w:r>
          </w:p>
        </w:tc>
        <w:tc>
          <w:tcPr>
            <w:tcW w:w="1304" w:type="dxa"/>
            <w:shd w:val="clear" w:color="auto" w:fill="auto"/>
            <w:noWrap/>
            <w:vAlign w:val="center"/>
            <w:hideMark/>
          </w:tcPr>
          <w:p w:rsidR="00144949" w:rsidRPr="005B62B6" w:rsidRDefault="00144949" w:rsidP="006648C9">
            <w:pPr>
              <w:pStyle w:val="120"/>
              <w:jc w:val="center"/>
            </w:pPr>
            <w:r w:rsidRPr="005B62B6">
              <w:t>89,595</w:t>
            </w:r>
          </w:p>
        </w:tc>
        <w:tc>
          <w:tcPr>
            <w:tcW w:w="1304" w:type="dxa"/>
            <w:shd w:val="clear" w:color="auto" w:fill="auto"/>
            <w:noWrap/>
            <w:vAlign w:val="center"/>
            <w:hideMark/>
          </w:tcPr>
          <w:p w:rsidR="00144949" w:rsidRPr="005B62B6" w:rsidRDefault="00144949" w:rsidP="006648C9">
            <w:pPr>
              <w:pStyle w:val="120"/>
              <w:jc w:val="center"/>
            </w:pPr>
            <w:r w:rsidRPr="005B62B6">
              <w:t>1,450,268</w:t>
            </w:r>
          </w:p>
        </w:tc>
        <w:tc>
          <w:tcPr>
            <w:tcW w:w="1304" w:type="dxa"/>
            <w:shd w:val="clear" w:color="auto" w:fill="auto"/>
            <w:noWrap/>
            <w:vAlign w:val="center"/>
            <w:hideMark/>
          </w:tcPr>
          <w:p w:rsidR="00144949" w:rsidRPr="005B62B6" w:rsidRDefault="00144949" w:rsidP="006648C9">
            <w:pPr>
              <w:pStyle w:val="120"/>
              <w:jc w:val="center"/>
            </w:pPr>
            <w:r w:rsidRPr="005B62B6">
              <w:t>99,305</w:t>
            </w:r>
          </w:p>
        </w:tc>
        <w:tc>
          <w:tcPr>
            <w:tcW w:w="1304" w:type="dxa"/>
            <w:shd w:val="clear" w:color="auto" w:fill="auto"/>
            <w:noWrap/>
            <w:vAlign w:val="center"/>
            <w:hideMark/>
          </w:tcPr>
          <w:p w:rsidR="00144949" w:rsidRPr="005B62B6" w:rsidRDefault="00144949" w:rsidP="006648C9">
            <w:pPr>
              <w:pStyle w:val="120"/>
              <w:jc w:val="center"/>
            </w:pPr>
            <w:r w:rsidRPr="005B62B6">
              <w:t>327,220</w:t>
            </w:r>
          </w:p>
        </w:tc>
        <w:tc>
          <w:tcPr>
            <w:tcW w:w="1304" w:type="dxa"/>
            <w:shd w:val="clear" w:color="auto" w:fill="auto"/>
            <w:noWrap/>
            <w:vAlign w:val="center"/>
            <w:hideMark/>
          </w:tcPr>
          <w:p w:rsidR="00144949" w:rsidRPr="005B62B6" w:rsidRDefault="00144949" w:rsidP="006648C9">
            <w:pPr>
              <w:pStyle w:val="120"/>
              <w:jc w:val="center"/>
            </w:pPr>
            <w:r w:rsidRPr="005B62B6">
              <w:t>792,185</w:t>
            </w:r>
          </w:p>
        </w:tc>
        <w:tc>
          <w:tcPr>
            <w:tcW w:w="1304" w:type="dxa"/>
            <w:shd w:val="clear" w:color="auto" w:fill="auto"/>
            <w:noWrap/>
            <w:vAlign w:val="center"/>
            <w:hideMark/>
          </w:tcPr>
          <w:p w:rsidR="00144949" w:rsidRPr="005B62B6" w:rsidRDefault="00144949" w:rsidP="006648C9">
            <w:pPr>
              <w:pStyle w:val="120"/>
              <w:jc w:val="center"/>
            </w:pPr>
            <w:r w:rsidRPr="005B62B6">
              <w:t>1,171,167</w:t>
            </w:r>
          </w:p>
        </w:tc>
      </w:tr>
    </w:tbl>
    <w:p w:rsidR="00144949" w:rsidRPr="005B62B6" w:rsidRDefault="00144949" w:rsidP="00326347">
      <w:pPr>
        <w:pStyle w:val="120"/>
      </w:pPr>
      <w:r w:rsidRPr="005B62B6">
        <w:rPr>
          <w:rFonts w:hint="eastAsia"/>
        </w:rPr>
        <w:t>註1：臺北市另填具空白棟數11254，戶數2426，執照數11254。</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ind w:left="534" w:hangingChars="230" w:hanging="534"/>
      </w:pPr>
      <w:r w:rsidRPr="005B62B6">
        <w:rPr>
          <w:rFonts w:hint="eastAsia"/>
        </w:rPr>
        <w:t>註2：新北市另填具未區分供公眾使用建築物棟數101210，戶數997639，執照數81787；數據統計時間為43年~106年，棟數及戶數係為使用執照登載數量統計，惟部分執照未登載棟數及戶數，91年以後部分案件始有標示供公眾使用之欄位。</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註3：桃園市統計日期：93~107年。</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註4：臺南市統計日期：96年以後。</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註5：苗栗縣表示，71~91年間有諸多執照資料尚未建置至系統。</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註6：南投縣填具共84633照，無法區分統計。</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註7：嘉義縣填報無法區分統計，共43272照。</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註8：基隆市由該府建築管理系統篩選建築執照，統計日期：71.6.15以後資料。</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C778F7" w:rsidRPr="005B62B6" w:rsidRDefault="00144949" w:rsidP="00326347">
      <w:pPr>
        <w:pStyle w:val="120"/>
      </w:pPr>
      <w:r w:rsidRPr="005B62B6">
        <w:rPr>
          <w:rFonts w:hint="eastAsia"/>
        </w:rPr>
        <w:t>註9：連江縣建使照核發系統僅列管100年以後之案件。</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C778F7" w:rsidP="00326347">
      <w:pPr>
        <w:pStyle w:val="af5"/>
        <w:rPr>
          <w:bCs/>
          <w:kern w:val="32"/>
        </w:rPr>
      </w:pPr>
      <w:r w:rsidRPr="005B62B6">
        <w:rPr>
          <w:rFonts w:hint="eastAsia"/>
        </w:rPr>
        <w:t>資料來源：營建署。</w:t>
      </w:r>
    </w:p>
    <w:p w:rsidR="008C786C" w:rsidRPr="005B62B6" w:rsidRDefault="008C786C" w:rsidP="003C4483">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公眾使用建築物屋齡</w:t>
      </w:r>
      <w:r w:rsidR="0020744E" w:rsidRPr="005B62B6">
        <w:rPr>
          <w:rFonts w:hAnsi="標楷體"/>
          <w:bCs/>
        </w:rPr>
        <w:t>逾</w:t>
      </w:r>
      <w:r w:rsidRPr="005B62B6">
        <w:rPr>
          <w:rFonts w:hAnsi="標楷體"/>
          <w:bCs/>
        </w:rPr>
        <w:t>30年之棟(戶)數量統計表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Height w:val="20"/>
        </w:trPr>
        <w:tc>
          <w:tcPr>
            <w:tcW w:w="1020" w:type="dxa"/>
            <w:vMerge w:val="restart"/>
            <w:shd w:val="clear" w:color="auto" w:fill="auto"/>
            <w:noWrap/>
            <w:vAlign w:val="center"/>
            <w:hideMark/>
          </w:tcPr>
          <w:p w:rsidR="00144949" w:rsidRPr="005B62B6" w:rsidRDefault="00144949" w:rsidP="00746093">
            <w:pPr>
              <w:pStyle w:val="12"/>
            </w:pPr>
            <w:r w:rsidRPr="005B62B6">
              <w:t>縣市別</w:t>
            </w:r>
          </w:p>
        </w:tc>
        <w:tc>
          <w:tcPr>
            <w:tcW w:w="3912" w:type="dxa"/>
            <w:gridSpan w:val="3"/>
            <w:shd w:val="clear" w:color="auto" w:fill="auto"/>
            <w:noWrap/>
            <w:vAlign w:val="center"/>
            <w:hideMark/>
          </w:tcPr>
          <w:p w:rsidR="00144949" w:rsidRPr="005B62B6" w:rsidRDefault="00144949" w:rsidP="00956303">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956303">
            <w:pPr>
              <w:pStyle w:val="12"/>
              <w:spacing w:before="0" w:after="0"/>
            </w:pPr>
            <w:r w:rsidRPr="005B62B6">
              <w:t>非供公眾使用建築物</w:t>
            </w:r>
          </w:p>
        </w:tc>
      </w:tr>
      <w:tr w:rsidR="005B62B6" w:rsidRPr="005B62B6" w:rsidTr="00386484">
        <w:trPr>
          <w:cantSplit/>
          <w:trHeight w:val="20"/>
        </w:trPr>
        <w:tc>
          <w:tcPr>
            <w:tcW w:w="1020" w:type="dxa"/>
            <w:vMerge/>
            <w:vAlign w:val="center"/>
            <w:hideMark/>
          </w:tcPr>
          <w:p w:rsidR="00144949" w:rsidRPr="005B62B6" w:rsidRDefault="00144949" w:rsidP="00746093">
            <w:pPr>
              <w:pStyle w:val="12"/>
            </w:pPr>
          </w:p>
        </w:tc>
        <w:tc>
          <w:tcPr>
            <w:tcW w:w="1304" w:type="dxa"/>
            <w:shd w:val="clear" w:color="auto" w:fill="auto"/>
            <w:noWrap/>
            <w:vAlign w:val="center"/>
            <w:hideMark/>
          </w:tcPr>
          <w:p w:rsidR="00144949" w:rsidRPr="005B62B6" w:rsidRDefault="00144949" w:rsidP="00822012">
            <w:pPr>
              <w:pStyle w:val="12"/>
              <w:spacing w:before="0" w:after="0"/>
            </w:pPr>
            <w:r w:rsidRPr="005B62B6">
              <w:t>棟</w:t>
            </w:r>
          </w:p>
        </w:tc>
        <w:tc>
          <w:tcPr>
            <w:tcW w:w="1304" w:type="dxa"/>
            <w:shd w:val="clear" w:color="auto" w:fill="auto"/>
            <w:noWrap/>
            <w:vAlign w:val="center"/>
            <w:hideMark/>
          </w:tcPr>
          <w:p w:rsidR="00144949" w:rsidRPr="005B62B6" w:rsidRDefault="00144949" w:rsidP="00822012">
            <w:pPr>
              <w:pStyle w:val="12"/>
              <w:spacing w:before="0" w:after="0"/>
            </w:pPr>
            <w:r w:rsidRPr="005B62B6">
              <w:t>戶</w:t>
            </w:r>
          </w:p>
        </w:tc>
        <w:tc>
          <w:tcPr>
            <w:tcW w:w="1304" w:type="dxa"/>
            <w:shd w:val="clear" w:color="auto" w:fill="auto"/>
            <w:noWrap/>
            <w:vAlign w:val="center"/>
            <w:hideMark/>
          </w:tcPr>
          <w:p w:rsidR="00144949" w:rsidRPr="005B62B6" w:rsidRDefault="00144949" w:rsidP="00822012">
            <w:pPr>
              <w:pStyle w:val="12"/>
              <w:spacing w:before="0" w:after="0"/>
            </w:pPr>
            <w:r w:rsidRPr="005B62B6">
              <w:t>執照數</w:t>
            </w:r>
          </w:p>
        </w:tc>
        <w:tc>
          <w:tcPr>
            <w:tcW w:w="1304" w:type="dxa"/>
            <w:shd w:val="clear" w:color="auto" w:fill="auto"/>
            <w:noWrap/>
            <w:vAlign w:val="center"/>
            <w:hideMark/>
          </w:tcPr>
          <w:p w:rsidR="00144949" w:rsidRPr="005B62B6" w:rsidRDefault="00144949" w:rsidP="00822012">
            <w:pPr>
              <w:pStyle w:val="12"/>
              <w:spacing w:before="0" w:after="0"/>
            </w:pPr>
            <w:r w:rsidRPr="005B62B6">
              <w:t>棟</w:t>
            </w:r>
          </w:p>
        </w:tc>
        <w:tc>
          <w:tcPr>
            <w:tcW w:w="1304" w:type="dxa"/>
            <w:shd w:val="clear" w:color="auto" w:fill="auto"/>
            <w:noWrap/>
            <w:vAlign w:val="center"/>
            <w:hideMark/>
          </w:tcPr>
          <w:p w:rsidR="00144949" w:rsidRPr="005B62B6" w:rsidRDefault="00144949" w:rsidP="00822012">
            <w:pPr>
              <w:pStyle w:val="12"/>
              <w:spacing w:before="0" w:after="0"/>
            </w:pPr>
            <w:r w:rsidRPr="005B62B6">
              <w:t>戶</w:t>
            </w:r>
          </w:p>
        </w:tc>
        <w:tc>
          <w:tcPr>
            <w:tcW w:w="1304" w:type="dxa"/>
            <w:shd w:val="clear" w:color="auto" w:fill="auto"/>
            <w:noWrap/>
            <w:vAlign w:val="center"/>
            <w:hideMark/>
          </w:tcPr>
          <w:p w:rsidR="00144949" w:rsidRPr="005B62B6" w:rsidRDefault="00144949" w:rsidP="00822012">
            <w:pPr>
              <w:pStyle w:val="12"/>
              <w:spacing w:before="0" w:after="0"/>
            </w:pPr>
            <w:r w:rsidRPr="005B62B6">
              <w:t>執照數</w:t>
            </w:r>
          </w:p>
        </w:tc>
      </w:tr>
      <w:tr w:rsidR="005B62B6" w:rsidRPr="005B62B6" w:rsidTr="00386484">
        <w:trPr>
          <w:cantSplit/>
          <w:trHeight w:val="20"/>
        </w:trPr>
        <w:tc>
          <w:tcPr>
            <w:tcW w:w="1020" w:type="dxa"/>
            <w:shd w:val="clear" w:color="auto" w:fill="auto"/>
            <w:noWrap/>
            <w:vAlign w:val="center"/>
            <w:hideMark/>
          </w:tcPr>
          <w:p w:rsidR="00144949" w:rsidRPr="005B62B6" w:rsidRDefault="00144949" w:rsidP="003C30E2">
            <w:pPr>
              <w:pStyle w:val="120"/>
              <w:spacing w:line="270" w:lineRule="exact"/>
              <w:jc w:val="center"/>
            </w:pPr>
            <w:r w:rsidRPr="005B62B6">
              <w:t>臺北市</w:t>
            </w:r>
            <w:r w:rsidRPr="005B62B6">
              <w:rPr>
                <w:sz w:val="16"/>
                <w:szCs w:val="16"/>
              </w:rPr>
              <w:t>註1</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36,266</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373,443</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24,072</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40,484</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229,999</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21,854</w:t>
            </w:r>
          </w:p>
        </w:tc>
      </w:tr>
      <w:tr w:rsidR="005B62B6" w:rsidRPr="005B62B6" w:rsidTr="00386484">
        <w:trPr>
          <w:cantSplit/>
          <w:trHeight w:val="20"/>
        </w:trPr>
        <w:tc>
          <w:tcPr>
            <w:tcW w:w="1020" w:type="dxa"/>
            <w:shd w:val="clear" w:color="auto" w:fill="auto"/>
            <w:noWrap/>
            <w:vAlign w:val="center"/>
          </w:tcPr>
          <w:p w:rsidR="00746093" w:rsidRPr="005B62B6" w:rsidRDefault="00746093" w:rsidP="003C30E2">
            <w:pPr>
              <w:pStyle w:val="120"/>
              <w:spacing w:line="270" w:lineRule="exact"/>
              <w:jc w:val="center"/>
            </w:pPr>
            <w:r w:rsidRPr="005B62B6">
              <w:t>新北市</w:t>
            </w:r>
            <w:r w:rsidRPr="005B62B6">
              <w:rPr>
                <w:sz w:val="16"/>
                <w:szCs w:val="16"/>
              </w:rPr>
              <w:t>註2</w:t>
            </w:r>
          </w:p>
        </w:tc>
        <w:tc>
          <w:tcPr>
            <w:tcW w:w="1304" w:type="dxa"/>
            <w:tcBorders>
              <w:right w:val="nil"/>
            </w:tcBorders>
            <w:shd w:val="clear" w:color="auto" w:fill="auto"/>
            <w:noWrap/>
            <w:vAlign w:val="center"/>
          </w:tcPr>
          <w:p w:rsidR="00746093" w:rsidRPr="005B62B6" w:rsidRDefault="00746093" w:rsidP="003C30E2">
            <w:pPr>
              <w:pStyle w:val="120"/>
              <w:spacing w:line="270" w:lineRule="exact"/>
              <w:jc w:val="center"/>
            </w:pPr>
            <w:r w:rsidRPr="005B62B6">
              <w:t>系統無登載</w:t>
            </w:r>
          </w:p>
        </w:tc>
        <w:tc>
          <w:tcPr>
            <w:tcW w:w="1304" w:type="dxa"/>
            <w:tcBorders>
              <w:left w:val="nil"/>
              <w:right w:val="nil"/>
            </w:tcBorders>
            <w:shd w:val="clear" w:color="auto" w:fill="auto"/>
            <w:noWrap/>
            <w:vAlign w:val="center"/>
          </w:tcPr>
          <w:p w:rsidR="00746093" w:rsidRPr="005B62B6" w:rsidRDefault="00746093" w:rsidP="003C30E2">
            <w:pPr>
              <w:pStyle w:val="120"/>
              <w:spacing w:line="270" w:lineRule="exact"/>
              <w:jc w:val="center"/>
            </w:pPr>
          </w:p>
        </w:tc>
        <w:tc>
          <w:tcPr>
            <w:tcW w:w="1304" w:type="dxa"/>
            <w:tcBorders>
              <w:left w:val="nil"/>
            </w:tcBorders>
            <w:shd w:val="clear" w:color="auto" w:fill="auto"/>
            <w:noWrap/>
            <w:vAlign w:val="center"/>
          </w:tcPr>
          <w:p w:rsidR="00746093" w:rsidRPr="005B62B6" w:rsidRDefault="00746093" w:rsidP="003C30E2">
            <w:pPr>
              <w:pStyle w:val="120"/>
              <w:spacing w:line="270" w:lineRule="exact"/>
              <w:jc w:val="center"/>
            </w:pPr>
          </w:p>
        </w:tc>
        <w:tc>
          <w:tcPr>
            <w:tcW w:w="1304" w:type="dxa"/>
            <w:shd w:val="clear" w:color="auto" w:fill="auto"/>
            <w:noWrap/>
            <w:vAlign w:val="center"/>
          </w:tcPr>
          <w:p w:rsidR="00746093" w:rsidRPr="005B62B6" w:rsidRDefault="00746093" w:rsidP="003C30E2">
            <w:pPr>
              <w:pStyle w:val="120"/>
              <w:spacing w:line="270" w:lineRule="exact"/>
              <w:jc w:val="center"/>
            </w:pPr>
            <w:r w:rsidRPr="005B62B6">
              <w:t>929</w:t>
            </w:r>
          </w:p>
        </w:tc>
        <w:tc>
          <w:tcPr>
            <w:tcW w:w="1304" w:type="dxa"/>
            <w:shd w:val="clear" w:color="auto" w:fill="auto"/>
            <w:noWrap/>
            <w:vAlign w:val="center"/>
          </w:tcPr>
          <w:p w:rsidR="00746093" w:rsidRPr="005B62B6" w:rsidRDefault="00746093" w:rsidP="003C30E2">
            <w:pPr>
              <w:pStyle w:val="120"/>
              <w:spacing w:line="270" w:lineRule="exact"/>
              <w:jc w:val="center"/>
            </w:pPr>
            <w:r w:rsidRPr="005B62B6">
              <w:t>1,119</w:t>
            </w:r>
          </w:p>
        </w:tc>
        <w:tc>
          <w:tcPr>
            <w:tcW w:w="1304" w:type="dxa"/>
            <w:shd w:val="clear" w:color="auto" w:fill="auto"/>
            <w:noWrap/>
            <w:vAlign w:val="center"/>
          </w:tcPr>
          <w:p w:rsidR="00746093" w:rsidRPr="005B62B6" w:rsidRDefault="00746093" w:rsidP="003C30E2">
            <w:pPr>
              <w:pStyle w:val="120"/>
              <w:spacing w:line="270" w:lineRule="exact"/>
              <w:jc w:val="center"/>
            </w:pPr>
            <w:r w:rsidRPr="005B62B6">
              <w:t>6,353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桃園市</w:t>
            </w:r>
            <w:r w:rsidRPr="005B62B6">
              <w:rPr>
                <w:sz w:val="16"/>
                <w:szCs w:val="16"/>
              </w:rPr>
              <w:t>註3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201</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63,740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臺中市</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1,888</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2,279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1,379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53,494</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84,196</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50,299</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臺南市</w:t>
            </w:r>
            <w:r w:rsidRPr="005B62B6">
              <w:rPr>
                <w:sz w:val="16"/>
                <w:szCs w:val="16"/>
              </w:rPr>
              <w:t>註4</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高雄市</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903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143,356</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新竹縣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51</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9,577</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苗栗縣</w:t>
            </w:r>
            <w:r w:rsidRPr="005B62B6">
              <w:rPr>
                <w:sz w:val="16"/>
                <w:szCs w:val="16"/>
              </w:rPr>
              <w:t>註5</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17,522</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彰化縣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584</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21,485</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南投縣</w:t>
            </w:r>
            <w:r w:rsidRPr="005B62B6">
              <w:rPr>
                <w:sz w:val="16"/>
                <w:szCs w:val="16"/>
              </w:rPr>
              <w:t>註6</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雲林縣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363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17,203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嘉義縣</w:t>
            </w:r>
            <w:r w:rsidRPr="005B62B6">
              <w:rPr>
                <w:sz w:val="16"/>
                <w:szCs w:val="16"/>
              </w:rPr>
              <w:t>註7</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屏東縣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1,138</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55,757</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宜蘭縣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97</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29,006</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花蓮縣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臺東縣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86</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13,980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澎湖縣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255</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3,614</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基隆市</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30,660</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89,893</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21,858</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新竹市</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69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386</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54</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5,249</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16,656</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4,350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嘉義市</w:t>
            </w:r>
            <w:r w:rsidRPr="005B62B6">
              <w:rPr>
                <w:sz w:val="16"/>
                <w:szCs w:val="16"/>
              </w:rPr>
              <w:t>註8</w:t>
            </w: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vAlign w:val="center"/>
            <w:hideMark/>
          </w:tcPr>
          <w:p w:rsidR="00746093" w:rsidRPr="005B62B6" w:rsidRDefault="00746093" w:rsidP="003C30E2">
            <w:pPr>
              <w:pStyle w:val="120"/>
              <w:spacing w:line="270" w:lineRule="exact"/>
              <w:jc w:val="center"/>
            </w:pPr>
            <w:r w:rsidRPr="005B62B6">
              <w:t>32</w:t>
            </w: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5,612</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金門縣</w:t>
            </w:r>
            <w:r w:rsidRPr="005B62B6">
              <w:rPr>
                <w:sz w:val="16"/>
                <w:szCs w:val="16"/>
              </w:rPr>
              <w:t>註9</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連江縣</w:t>
            </w:r>
            <w:r w:rsidRPr="005B62B6">
              <w:rPr>
                <w:sz w:val="16"/>
                <w:szCs w:val="16"/>
              </w:rPr>
              <w:t>註10</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822012">
            <w:pPr>
              <w:pStyle w:val="120"/>
              <w:spacing w:line="280" w:lineRule="exact"/>
              <w:jc w:val="center"/>
            </w:pPr>
            <w:r w:rsidRPr="005B62B6">
              <w:t>合計</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68,883</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466,001</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51,084</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100,156</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331,970</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463,791</w:t>
            </w:r>
          </w:p>
        </w:tc>
      </w:tr>
    </w:tbl>
    <w:p w:rsidR="00144949" w:rsidRPr="005B62B6" w:rsidRDefault="00144949" w:rsidP="00956303">
      <w:pPr>
        <w:pStyle w:val="120"/>
      </w:pPr>
      <w:r w:rsidRPr="005B62B6">
        <w:t>註1：臺北市另填具空白棟數18143，戶數303，執照數10940。</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2：新北市另填報未區分供公眾使用建築物棟數59851，戶數182406，使用執照數51818，數據統計時間為43年~76年，棟數及戶數係為使用執照登載數量統計，惟部分執照未登載棟數及戶數，91年以後部分案件始有標示供公眾使用之欄位。</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註3：桃園市供公眾使用建築物為6樓以上，非供公眾使用建築物為5樓以下。</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註4：臺南市統計76.12.31前領得使用執照數量258178。</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註5：苗栗縣表示，71~91年間有諸多執照資料尚未建置至系統。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註6：南投縣填具共36193照，無法區分統計。</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註7：嘉義縣填報無法區分統計，共計3257照。</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註8：嘉義市列管公有建築物已詳細評估，4棟公有建築物已補強，6棟公有建築物將辦理後續補強，107年辦理4棟公有建築物補強，108年將辦理2棟公有建築物補強。</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註9：金門縣統計4872照，軍管(戰地任務，建築令)時期資料不完備，尚無法區分供公眾與非供公眾使用之建築物。</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註10：連江縣建使照核發系統僅列管100年以後之案件，故無法提供屋齡超過30年之棟(戶)數。</w:t>
      </w:r>
      <w:r w:rsidRPr="005B62B6">
        <w:tab/>
      </w:r>
      <w:r w:rsidRPr="005B62B6">
        <w:tab/>
      </w:r>
      <w:r w:rsidRPr="005B62B6">
        <w:tab/>
      </w:r>
      <w:r w:rsidRPr="005B62B6">
        <w:tab/>
      </w:r>
      <w:r w:rsidRPr="005B62B6">
        <w:tab/>
      </w:r>
      <w:r w:rsidRPr="005B62B6">
        <w:tab/>
      </w:r>
    </w:p>
    <w:p w:rsidR="00666616" w:rsidRPr="005B62B6" w:rsidRDefault="00C778F7" w:rsidP="00D94C68">
      <w:pPr>
        <w:pStyle w:val="af5"/>
        <w:rPr>
          <w:bCs/>
          <w:kern w:val="32"/>
        </w:rPr>
      </w:pPr>
      <w:r w:rsidRPr="005B62B6">
        <w:t>資料來源：營建署。</w:t>
      </w:r>
    </w:p>
    <w:p w:rsidR="008C786C" w:rsidRPr="005B62B6" w:rsidRDefault="008C786C" w:rsidP="00523B7C">
      <w:pPr>
        <w:pStyle w:val="a0"/>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公眾使用建築物因921地震及331地震列管使照之棟(戶)數量統計表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100AC2">
            <w:pPr>
              <w:pStyle w:val="12"/>
            </w:pPr>
            <w:r w:rsidRPr="005B62B6">
              <w:t>縣市別</w:t>
            </w:r>
          </w:p>
        </w:tc>
        <w:tc>
          <w:tcPr>
            <w:tcW w:w="3912" w:type="dxa"/>
            <w:gridSpan w:val="3"/>
            <w:shd w:val="clear" w:color="auto" w:fill="auto"/>
            <w:noWrap/>
            <w:vAlign w:val="center"/>
            <w:hideMark/>
          </w:tcPr>
          <w:p w:rsidR="00144949" w:rsidRPr="005B62B6" w:rsidRDefault="00144949" w:rsidP="000B01D0">
            <w:pPr>
              <w:pStyle w:val="12"/>
            </w:pPr>
            <w:r w:rsidRPr="005B62B6">
              <w:t>供公眾使用建築物</w:t>
            </w:r>
          </w:p>
        </w:tc>
        <w:tc>
          <w:tcPr>
            <w:tcW w:w="3912" w:type="dxa"/>
            <w:gridSpan w:val="3"/>
            <w:shd w:val="clear" w:color="auto" w:fill="auto"/>
            <w:noWrap/>
            <w:vAlign w:val="center"/>
            <w:hideMark/>
          </w:tcPr>
          <w:p w:rsidR="00144949" w:rsidRPr="005B62B6" w:rsidRDefault="00144949" w:rsidP="000B01D0">
            <w:pPr>
              <w:pStyle w:val="12"/>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100AC2">
            <w:pPr>
              <w:pStyle w:val="12"/>
            </w:pPr>
          </w:p>
        </w:tc>
        <w:tc>
          <w:tcPr>
            <w:tcW w:w="1304" w:type="dxa"/>
            <w:shd w:val="clear" w:color="auto" w:fill="auto"/>
            <w:noWrap/>
            <w:vAlign w:val="center"/>
            <w:hideMark/>
          </w:tcPr>
          <w:p w:rsidR="00144949" w:rsidRPr="005B62B6" w:rsidRDefault="00144949" w:rsidP="000B01D0">
            <w:pPr>
              <w:pStyle w:val="12"/>
            </w:pPr>
            <w:r w:rsidRPr="005B62B6">
              <w:t>棟</w:t>
            </w:r>
          </w:p>
        </w:tc>
        <w:tc>
          <w:tcPr>
            <w:tcW w:w="1304" w:type="dxa"/>
            <w:shd w:val="clear" w:color="auto" w:fill="auto"/>
            <w:noWrap/>
            <w:vAlign w:val="center"/>
            <w:hideMark/>
          </w:tcPr>
          <w:p w:rsidR="00144949" w:rsidRPr="005B62B6" w:rsidRDefault="00144949" w:rsidP="000B01D0">
            <w:pPr>
              <w:pStyle w:val="12"/>
            </w:pPr>
            <w:r w:rsidRPr="005B62B6">
              <w:t>戶</w:t>
            </w:r>
          </w:p>
        </w:tc>
        <w:tc>
          <w:tcPr>
            <w:tcW w:w="1304" w:type="dxa"/>
            <w:shd w:val="clear" w:color="auto" w:fill="auto"/>
            <w:noWrap/>
            <w:vAlign w:val="center"/>
            <w:hideMark/>
          </w:tcPr>
          <w:p w:rsidR="00144949" w:rsidRPr="005B62B6" w:rsidRDefault="00144949" w:rsidP="000B01D0">
            <w:pPr>
              <w:pStyle w:val="12"/>
            </w:pPr>
            <w:r w:rsidRPr="005B62B6">
              <w:t>執照數</w:t>
            </w:r>
          </w:p>
        </w:tc>
        <w:tc>
          <w:tcPr>
            <w:tcW w:w="1304" w:type="dxa"/>
            <w:shd w:val="clear" w:color="auto" w:fill="auto"/>
            <w:noWrap/>
            <w:vAlign w:val="center"/>
            <w:hideMark/>
          </w:tcPr>
          <w:p w:rsidR="00144949" w:rsidRPr="005B62B6" w:rsidRDefault="00144949" w:rsidP="000B01D0">
            <w:pPr>
              <w:pStyle w:val="12"/>
            </w:pPr>
            <w:r w:rsidRPr="005B62B6">
              <w:t>棟</w:t>
            </w:r>
          </w:p>
        </w:tc>
        <w:tc>
          <w:tcPr>
            <w:tcW w:w="1304" w:type="dxa"/>
            <w:shd w:val="clear" w:color="auto" w:fill="auto"/>
            <w:noWrap/>
            <w:vAlign w:val="center"/>
            <w:hideMark/>
          </w:tcPr>
          <w:p w:rsidR="00144949" w:rsidRPr="005B62B6" w:rsidRDefault="00144949" w:rsidP="000B01D0">
            <w:pPr>
              <w:pStyle w:val="12"/>
            </w:pPr>
            <w:r w:rsidRPr="005B62B6">
              <w:t>戶</w:t>
            </w:r>
          </w:p>
        </w:tc>
        <w:tc>
          <w:tcPr>
            <w:tcW w:w="1304" w:type="dxa"/>
            <w:shd w:val="clear" w:color="auto" w:fill="auto"/>
            <w:noWrap/>
            <w:vAlign w:val="center"/>
            <w:hideMark/>
          </w:tcPr>
          <w:p w:rsidR="00144949" w:rsidRPr="005B62B6" w:rsidRDefault="00144949" w:rsidP="000B01D0">
            <w:pPr>
              <w:pStyle w:val="12"/>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2770FE">
            <w:pPr>
              <w:pStyle w:val="120"/>
              <w:jc w:val="center"/>
            </w:pPr>
            <w:r w:rsidRPr="005B62B6">
              <w:t>74</w:t>
            </w:r>
          </w:p>
        </w:tc>
        <w:tc>
          <w:tcPr>
            <w:tcW w:w="1304" w:type="dxa"/>
            <w:shd w:val="clear" w:color="auto" w:fill="auto"/>
            <w:noWrap/>
            <w:vAlign w:val="center"/>
            <w:hideMark/>
          </w:tcPr>
          <w:p w:rsidR="00144949" w:rsidRPr="005B62B6" w:rsidRDefault="00144949" w:rsidP="002770FE">
            <w:pPr>
              <w:pStyle w:val="120"/>
              <w:jc w:val="center"/>
            </w:pPr>
            <w:r w:rsidRPr="005B62B6">
              <w:t>1,888</w:t>
            </w:r>
          </w:p>
        </w:tc>
        <w:tc>
          <w:tcPr>
            <w:tcW w:w="1304" w:type="dxa"/>
            <w:shd w:val="clear" w:color="auto" w:fill="auto"/>
            <w:noWrap/>
            <w:vAlign w:val="center"/>
            <w:hideMark/>
          </w:tcPr>
          <w:p w:rsidR="00144949" w:rsidRPr="005B62B6" w:rsidRDefault="00144949" w:rsidP="002770FE">
            <w:pPr>
              <w:pStyle w:val="120"/>
              <w:jc w:val="center"/>
            </w:pPr>
            <w:r w:rsidRPr="005B62B6">
              <w:t>32</w:t>
            </w:r>
          </w:p>
        </w:tc>
        <w:tc>
          <w:tcPr>
            <w:tcW w:w="1304" w:type="dxa"/>
            <w:shd w:val="clear" w:color="auto" w:fill="auto"/>
            <w:noWrap/>
            <w:vAlign w:val="center"/>
            <w:hideMark/>
          </w:tcPr>
          <w:p w:rsidR="00144949" w:rsidRPr="005B62B6" w:rsidRDefault="00144949" w:rsidP="002770FE">
            <w:pPr>
              <w:pStyle w:val="120"/>
              <w:jc w:val="center"/>
            </w:pPr>
            <w:r w:rsidRPr="005B62B6">
              <w:t>25</w:t>
            </w:r>
          </w:p>
        </w:tc>
        <w:tc>
          <w:tcPr>
            <w:tcW w:w="1304" w:type="dxa"/>
            <w:shd w:val="clear" w:color="auto" w:fill="auto"/>
            <w:noWrap/>
            <w:vAlign w:val="center"/>
            <w:hideMark/>
          </w:tcPr>
          <w:p w:rsidR="00144949" w:rsidRPr="005B62B6" w:rsidRDefault="00144949" w:rsidP="002770FE">
            <w:pPr>
              <w:pStyle w:val="120"/>
              <w:jc w:val="center"/>
            </w:pPr>
            <w:r w:rsidRPr="005B62B6">
              <w:t>251</w:t>
            </w:r>
          </w:p>
        </w:tc>
        <w:tc>
          <w:tcPr>
            <w:tcW w:w="1304" w:type="dxa"/>
            <w:shd w:val="clear" w:color="auto" w:fill="auto"/>
            <w:noWrap/>
            <w:vAlign w:val="center"/>
            <w:hideMark/>
          </w:tcPr>
          <w:p w:rsidR="00144949" w:rsidRPr="005B62B6" w:rsidRDefault="00144949" w:rsidP="002770FE">
            <w:pPr>
              <w:pStyle w:val="120"/>
              <w:jc w:val="center"/>
            </w:pPr>
            <w:r w:rsidRPr="005B62B6">
              <w:t>16</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2770FE">
            <w:pPr>
              <w:pStyle w:val="120"/>
              <w:jc w:val="center"/>
            </w:pPr>
            <w:r w:rsidRPr="005B62B6">
              <w:t>50</w:t>
            </w:r>
          </w:p>
        </w:tc>
        <w:tc>
          <w:tcPr>
            <w:tcW w:w="1304" w:type="dxa"/>
            <w:shd w:val="clear" w:color="auto" w:fill="auto"/>
            <w:noWrap/>
            <w:vAlign w:val="center"/>
            <w:hideMark/>
          </w:tcPr>
          <w:p w:rsidR="00144949" w:rsidRPr="005B62B6" w:rsidRDefault="00144949" w:rsidP="002770FE">
            <w:pPr>
              <w:pStyle w:val="120"/>
              <w:jc w:val="center"/>
            </w:pPr>
            <w:r w:rsidRPr="005B62B6">
              <w:t>3,426</w:t>
            </w:r>
          </w:p>
        </w:tc>
        <w:tc>
          <w:tcPr>
            <w:tcW w:w="1304" w:type="dxa"/>
            <w:shd w:val="clear" w:color="auto" w:fill="auto"/>
            <w:noWrap/>
            <w:vAlign w:val="center"/>
            <w:hideMark/>
          </w:tcPr>
          <w:p w:rsidR="00144949" w:rsidRPr="005B62B6" w:rsidRDefault="00144949" w:rsidP="002770FE">
            <w:pPr>
              <w:pStyle w:val="120"/>
              <w:jc w:val="center"/>
            </w:pPr>
            <w:r w:rsidRPr="005B62B6">
              <w:t>50</w:t>
            </w:r>
          </w:p>
        </w:tc>
        <w:tc>
          <w:tcPr>
            <w:tcW w:w="1304" w:type="dxa"/>
            <w:shd w:val="clear" w:color="auto" w:fill="auto"/>
            <w:noWrap/>
            <w:vAlign w:val="center"/>
            <w:hideMark/>
          </w:tcPr>
          <w:p w:rsidR="00144949" w:rsidRPr="005B62B6" w:rsidRDefault="00144949" w:rsidP="002770FE">
            <w:pPr>
              <w:pStyle w:val="120"/>
              <w:jc w:val="center"/>
            </w:pPr>
            <w:r w:rsidRPr="005B62B6">
              <w:t>239</w:t>
            </w:r>
          </w:p>
        </w:tc>
        <w:tc>
          <w:tcPr>
            <w:tcW w:w="1304" w:type="dxa"/>
            <w:shd w:val="clear" w:color="auto" w:fill="auto"/>
            <w:noWrap/>
            <w:vAlign w:val="center"/>
            <w:hideMark/>
          </w:tcPr>
          <w:p w:rsidR="00144949" w:rsidRPr="005B62B6" w:rsidRDefault="00144949" w:rsidP="002770FE">
            <w:pPr>
              <w:pStyle w:val="120"/>
              <w:jc w:val="center"/>
            </w:pPr>
            <w:r w:rsidRPr="005B62B6">
              <w:t>2,505</w:t>
            </w:r>
          </w:p>
        </w:tc>
        <w:tc>
          <w:tcPr>
            <w:tcW w:w="1304" w:type="dxa"/>
            <w:shd w:val="clear" w:color="auto" w:fill="auto"/>
            <w:noWrap/>
            <w:vAlign w:val="center"/>
            <w:hideMark/>
          </w:tcPr>
          <w:p w:rsidR="00144949" w:rsidRPr="005B62B6" w:rsidRDefault="00144949" w:rsidP="002770FE">
            <w:pPr>
              <w:pStyle w:val="120"/>
              <w:jc w:val="center"/>
            </w:pPr>
            <w:r w:rsidRPr="005B62B6">
              <w:t>97</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桃園市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臺中市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臺南市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高雄市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新竹縣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苗栗縣</w:t>
            </w:r>
            <w:r w:rsidRPr="005B62B6">
              <w:rPr>
                <w:sz w:val="16"/>
                <w:szCs w:val="16"/>
              </w:rPr>
              <w:t>註3</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彰化縣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南投縣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雲林縣</w:t>
            </w:r>
            <w:r w:rsidRPr="005B62B6">
              <w:rPr>
                <w:sz w:val="16"/>
                <w:szCs w:val="16"/>
              </w:rPr>
              <w:t>註4</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p>
        </w:tc>
        <w:tc>
          <w:tcPr>
            <w:tcW w:w="1304" w:type="dxa"/>
            <w:shd w:val="clear" w:color="auto" w:fill="auto"/>
            <w:noWrap/>
            <w:vAlign w:val="center"/>
            <w:hideMark/>
          </w:tcPr>
          <w:p w:rsidR="00144949" w:rsidRPr="005B62B6" w:rsidRDefault="00144949" w:rsidP="002770FE">
            <w:pPr>
              <w:pStyle w:val="120"/>
              <w:jc w:val="center"/>
            </w:pPr>
          </w:p>
        </w:tc>
        <w:tc>
          <w:tcPr>
            <w:tcW w:w="1304" w:type="dxa"/>
            <w:shd w:val="clear" w:color="auto" w:fill="auto"/>
            <w:noWrap/>
            <w:vAlign w:val="center"/>
            <w:hideMark/>
          </w:tcPr>
          <w:p w:rsidR="00144949" w:rsidRPr="005B62B6" w:rsidRDefault="00144949" w:rsidP="002770FE">
            <w:pPr>
              <w:pStyle w:val="120"/>
              <w:jc w:val="center"/>
            </w:pPr>
            <w:r w:rsidRPr="005B62B6">
              <w:t>1</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嘉義縣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屏東縣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宜蘭縣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花蓮縣</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臺東縣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澎湖縣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基隆市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新竹市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嘉義市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金門縣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連江縣</w:t>
            </w:r>
          </w:p>
        </w:tc>
        <w:tc>
          <w:tcPr>
            <w:tcW w:w="1304" w:type="dxa"/>
            <w:shd w:val="clear" w:color="auto" w:fill="auto"/>
            <w:noWrap/>
            <w:vAlign w:val="center"/>
            <w:hideMark/>
          </w:tcPr>
          <w:p w:rsidR="00144949" w:rsidRPr="005B62B6" w:rsidRDefault="00144949" w:rsidP="002770FE">
            <w:pPr>
              <w:pStyle w:val="120"/>
              <w:jc w:val="center"/>
            </w:pPr>
            <w:r w:rsidRPr="005B62B6">
              <w:t>無列管案件</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合計</w:t>
            </w:r>
          </w:p>
        </w:tc>
        <w:tc>
          <w:tcPr>
            <w:tcW w:w="1304" w:type="dxa"/>
            <w:shd w:val="clear" w:color="auto" w:fill="auto"/>
            <w:noWrap/>
            <w:vAlign w:val="center"/>
            <w:hideMark/>
          </w:tcPr>
          <w:p w:rsidR="00144949" w:rsidRPr="005B62B6" w:rsidRDefault="00144949" w:rsidP="002770FE">
            <w:pPr>
              <w:pStyle w:val="120"/>
              <w:jc w:val="center"/>
            </w:pPr>
            <w:r w:rsidRPr="005B62B6">
              <w:t>124</w:t>
            </w:r>
          </w:p>
        </w:tc>
        <w:tc>
          <w:tcPr>
            <w:tcW w:w="1304" w:type="dxa"/>
            <w:shd w:val="clear" w:color="auto" w:fill="auto"/>
            <w:noWrap/>
            <w:vAlign w:val="center"/>
            <w:hideMark/>
          </w:tcPr>
          <w:p w:rsidR="00144949" w:rsidRPr="005B62B6" w:rsidRDefault="00144949" w:rsidP="002770FE">
            <w:pPr>
              <w:pStyle w:val="120"/>
              <w:jc w:val="center"/>
            </w:pPr>
            <w:r w:rsidRPr="005B62B6">
              <w:t>5,314</w:t>
            </w:r>
          </w:p>
        </w:tc>
        <w:tc>
          <w:tcPr>
            <w:tcW w:w="1304" w:type="dxa"/>
            <w:shd w:val="clear" w:color="auto" w:fill="auto"/>
            <w:noWrap/>
            <w:vAlign w:val="center"/>
            <w:hideMark/>
          </w:tcPr>
          <w:p w:rsidR="00144949" w:rsidRPr="005B62B6" w:rsidRDefault="00144949" w:rsidP="002770FE">
            <w:pPr>
              <w:pStyle w:val="120"/>
              <w:jc w:val="center"/>
            </w:pPr>
            <w:r w:rsidRPr="005B62B6">
              <w:t>82</w:t>
            </w:r>
          </w:p>
        </w:tc>
        <w:tc>
          <w:tcPr>
            <w:tcW w:w="1304" w:type="dxa"/>
            <w:shd w:val="clear" w:color="auto" w:fill="auto"/>
            <w:noWrap/>
            <w:vAlign w:val="center"/>
            <w:hideMark/>
          </w:tcPr>
          <w:p w:rsidR="00144949" w:rsidRPr="005B62B6" w:rsidRDefault="00144949" w:rsidP="002770FE">
            <w:pPr>
              <w:pStyle w:val="120"/>
              <w:jc w:val="center"/>
            </w:pPr>
            <w:r w:rsidRPr="005B62B6">
              <w:t>264</w:t>
            </w:r>
          </w:p>
        </w:tc>
        <w:tc>
          <w:tcPr>
            <w:tcW w:w="1304" w:type="dxa"/>
            <w:shd w:val="clear" w:color="auto" w:fill="auto"/>
            <w:noWrap/>
            <w:vAlign w:val="center"/>
            <w:hideMark/>
          </w:tcPr>
          <w:p w:rsidR="00144949" w:rsidRPr="005B62B6" w:rsidRDefault="00144949" w:rsidP="002770FE">
            <w:pPr>
              <w:pStyle w:val="120"/>
              <w:jc w:val="center"/>
            </w:pPr>
            <w:r w:rsidRPr="005B62B6">
              <w:t>2,756</w:t>
            </w:r>
          </w:p>
        </w:tc>
        <w:tc>
          <w:tcPr>
            <w:tcW w:w="1304" w:type="dxa"/>
            <w:shd w:val="clear" w:color="auto" w:fill="auto"/>
            <w:noWrap/>
            <w:vAlign w:val="center"/>
            <w:hideMark/>
          </w:tcPr>
          <w:p w:rsidR="00144949" w:rsidRPr="005B62B6" w:rsidRDefault="00144949" w:rsidP="002770FE">
            <w:pPr>
              <w:pStyle w:val="120"/>
              <w:jc w:val="center"/>
            </w:pPr>
            <w:r w:rsidRPr="005B62B6">
              <w:t>114</w:t>
            </w:r>
          </w:p>
        </w:tc>
      </w:tr>
    </w:tbl>
    <w:p w:rsidR="00144949" w:rsidRPr="005B62B6" w:rsidRDefault="00144949" w:rsidP="00100AC2">
      <w:pPr>
        <w:pStyle w:val="120"/>
        <w:ind w:left="511" w:hangingChars="220" w:hanging="511"/>
      </w:pPr>
      <w:r w:rsidRPr="005B62B6">
        <w:t>註1：臺北市填具：921地震列管供公眾使用建築物65棟1059戶25執照數，非供公眾使用建築物21棟211戶15執照數；331地震列管供公眾使用建築物9棟829戶7執照數，非供公眾使用建築物4棟40戶1執照數。</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註2：新北市表示，棟數及戶數數量為使用執照登載數量，部分執照未登載棟數及戶數。</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註3：苗栗縣表示，71~91年間有諸多執照資料尚未建置至系統。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註4：雲林縣非供公眾使用建築物1照拆除中。</w:t>
      </w:r>
      <w:r w:rsidRPr="005B62B6">
        <w:tab/>
      </w:r>
      <w:r w:rsidRPr="005B62B6">
        <w:tab/>
      </w:r>
      <w:r w:rsidRPr="005B62B6">
        <w:tab/>
      </w:r>
      <w:r w:rsidRPr="005B62B6">
        <w:tab/>
      </w:r>
      <w:r w:rsidRPr="005B62B6">
        <w:tab/>
      </w:r>
      <w:r w:rsidRPr="005B62B6">
        <w:tab/>
      </w:r>
    </w:p>
    <w:p w:rsidR="00144949" w:rsidRPr="005B62B6" w:rsidRDefault="00C778F7" w:rsidP="00F81CA6">
      <w:pPr>
        <w:pStyle w:val="af5"/>
        <w:rPr>
          <w:rFonts w:ascii="Times New Roman"/>
          <w:bCs/>
          <w:kern w:val="32"/>
        </w:rPr>
      </w:pPr>
      <w:r w:rsidRPr="005B62B6">
        <w:t>資料來源：營建署。</w:t>
      </w:r>
    </w:p>
    <w:p w:rsidR="00984815" w:rsidRPr="005B62B6" w:rsidRDefault="008C786C" w:rsidP="00F81CA6">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w:t>
      </w:r>
      <w:r w:rsidR="00870405" w:rsidRPr="005B62B6">
        <w:rPr>
          <w:rFonts w:hAnsi="標楷體"/>
          <w:bCs/>
        </w:rPr>
        <w:t>公告列管之海砂屋</w:t>
      </w:r>
      <w:r w:rsidRPr="005B62B6">
        <w:rPr>
          <w:rFonts w:hAnsi="標楷體"/>
          <w:bCs/>
        </w:rPr>
        <w:t>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4B4A00">
            <w:pPr>
              <w:pStyle w:val="12"/>
            </w:pPr>
            <w:r w:rsidRPr="005B62B6">
              <w:t>縣市別</w:t>
            </w:r>
          </w:p>
        </w:tc>
        <w:tc>
          <w:tcPr>
            <w:tcW w:w="3912" w:type="dxa"/>
            <w:gridSpan w:val="3"/>
            <w:shd w:val="clear" w:color="auto" w:fill="auto"/>
            <w:noWrap/>
            <w:vAlign w:val="center"/>
            <w:hideMark/>
          </w:tcPr>
          <w:p w:rsidR="00144949" w:rsidRPr="005B62B6" w:rsidRDefault="00144949" w:rsidP="009B6C28">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9B6C28">
            <w:pPr>
              <w:pStyle w:val="12"/>
              <w:spacing w:before="0" w:after="0"/>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4B4A00">
            <w:pPr>
              <w:pStyle w:val="12"/>
            </w:pPr>
          </w:p>
        </w:tc>
        <w:tc>
          <w:tcPr>
            <w:tcW w:w="1304" w:type="dxa"/>
            <w:shd w:val="clear" w:color="auto" w:fill="auto"/>
            <w:noWrap/>
            <w:vAlign w:val="center"/>
            <w:hideMark/>
          </w:tcPr>
          <w:p w:rsidR="00144949" w:rsidRPr="005B62B6" w:rsidRDefault="00144949" w:rsidP="009B6C28">
            <w:pPr>
              <w:pStyle w:val="12"/>
              <w:spacing w:before="0" w:after="0"/>
            </w:pPr>
            <w:r w:rsidRPr="005B62B6">
              <w:t>棟</w:t>
            </w:r>
          </w:p>
        </w:tc>
        <w:tc>
          <w:tcPr>
            <w:tcW w:w="1304" w:type="dxa"/>
            <w:shd w:val="clear" w:color="auto" w:fill="auto"/>
            <w:noWrap/>
            <w:vAlign w:val="center"/>
            <w:hideMark/>
          </w:tcPr>
          <w:p w:rsidR="00144949" w:rsidRPr="005B62B6" w:rsidRDefault="00144949" w:rsidP="009B6C28">
            <w:pPr>
              <w:pStyle w:val="12"/>
              <w:spacing w:before="0" w:after="0"/>
            </w:pPr>
            <w:r w:rsidRPr="005B62B6">
              <w:t>戶</w:t>
            </w:r>
          </w:p>
        </w:tc>
        <w:tc>
          <w:tcPr>
            <w:tcW w:w="1304" w:type="dxa"/>
            <w:shd w:val="clear" w:color="auto" w:fill="auto"/>
            <w:noWrap/>
            <w:vAlign w:val="center"/>
            <w:hideMark/>
          </w:tcPr>
          <w:p w:rsidR="00144949" w:rsidRPr="005B62B6" w:rsidRDefault="00144949" w:rsidP="009B6C28">
            <w:pPr>
              <w:pStyle w:val="12"/>
              <w:spacing w:before="0" w:after="0"/>
            </w:pPr>
            <w:r w:rsidRPr="005B62B6">
              <w:t>執照數</w:t>
            </w:r>
          </w:p>
        </w:tc>
        <w:tc>
          <w:tcPr>
            <w:tcW w:w="1304" w:type="dxa"/>
            <w:shd w:val="clear" w:color="auto" w:fill="auto"/>
            <w:noWrap/>
            <w:vAlign w:val="center"/>
            <w:hideMark/>
          </w:tcPr>
          <w:p w:rsidR="00144949" w:rsidRPr="005B62B6" w:rsidRDefault="00144949" w:rsidP="009B6C28">
            <w:pPr>
              <w:pStyle w:val="12"/>
              <w:spacing w:before="0" w:after="0"/>
            </w:pPr>
            <w:r w:rsidRPr="005B62B6">
              <w:t>棟</w:t>
            </w:r>
          </w:p>
        </w:tc>
        <w:tc>
          <w:tcPr>
            <w:tcW w:w="1304" w:type="dxa"/>
            <w:shd w:val="clear" w:color="auto" w:fill="auto"/>
            <w:noWrap/>
            <w:vAlign w:val="center"/>
            <w:hideMark/>
          </w:tcPr>
          <w:p w:rsidR="00144949" w:rsidRPr="005B62B6" w:rsidRDefault="00144949" w:rsidP="009B6C28">
            <w:pPr>
              <w:pStyle w:val="12"/>
              <w:spacing w:before="0" w:after="0"/>
            </w:pPr>
            <w:r w:rsidRPr="005B62B6">
              <w:t>戶</w:t>
            </w:r>
          </w:p>
        </w:tc>
        <w:tc>
          <w:tcPr>
            <w:tcW w:w="1304" w:type="dxa"/>
            <w:shd w:val="clear" w:color="auto" w:fill="auto"/>
            <w:noWrap/>
            <w:vAlign w:val="center"/>
            <w:hideMark/>
          </w:tcPr>
          <w:p w:rsidR="00144949" w:rsidRPr="005B62B6" w:rsidRDefault="00144949" w:rsidP="009B6C28">
            <w:pPr>
              <w:pStyle w:val="12"/>
              <w:spacing w:before="0" w:after="0"/>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F7487B">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4B4A00">
            <w:pPr>
              <w:pStyle w:val="120"/>
              <w:jc w:val="center"/>
            </w:pPr>
            <w:r w:rsidRPr="005B62B6">
              <w:t>172</w:t>
            </w:r>
          </w:p>
        </w:tc>
        <w:tc>
          <w:tcPr>
            <w:tcW w:w="1304" w:type="dxa"/>
            <w:shd w:val="clear" w:color="auto" w:fill="auto"/>
            <w:noWrap/>
            <w:vAlign w:val="center"/>
            <w:hideMark/>
          </w:tcPr>
          <w:p w:rsidR="00144949" w:rsidRPr="005B62B6" w:rsidRDefault="00144949" w:rsidP="004B4A00">
            <w:pPr>
              <w:pStyle w:val="120"/>
              <w:jc w:val="center"/>
            </w:pPr>
            <w:r w:rsidRPr="005B62B6">
              <w:t>2,621</w:t>
            </w:r>
          </w:p>
        </w:tc>
        <w:tc>
          <w:tcPr>
            <w:tcW w:w="1304" w:type="dxa"/>
            <w:shd w:val="clear" w:color="auto" w:fill="auto"/>
            <w:noWrap/>
            <w:vAlign w:val="center"/>
            <w:hideMark/>
          </w:tcPr>
          <w:p w:rsidR="00144949" w:rsidRPr="005B62B6" w:rsidRDefault="00144949" w:rsidP="004B4A00">
            <w:pPr>
              <w:pStyle w:val="120"/>
              <w:jc w:val="center"/>
            </w:pPr>
            <w:r w:rsidRPr="005B62B6">
              <w:t>43</w:t>
            </w:r>
          </w:p>
        </w:tc>
        <w:tc>
          <w:tcPr>
            <w:tcW w:w="1304" w:type="dxa"/>
            <w:shd w:val="clear" w:color="auto" w:fill="auto"/>
            <w:noWrap/>
            <w:vAlign w:val="center"/>
            <w:hideMark/>
          </w:tcPr>
          <w:p w:rsidR="00144949" w:rsidRPr="005B62B6" w:rsidRDefault="00144949" w:rsidP="004B4A00">
            <w:pPr>
              <w:pStyle w:val="120"/>
              <w:jc w:val="center"/>
            </w:pPr>
            <w:r w:rsidRPr="005B62B6">
              <w:t>51</w:t>
            </w:r>
          </w:p>
        </w:tc>
        <w:tc>
          <w:tcPr>
            <w:tcW w:w="1304" w:type="dxa"/>
            <w:shd w:val="clear" w:color="auto" w:fill="auto"/>
            <w:noWrap/>
            <w:vAlign w:val="center"/>
            <w:hideMark/>
          </w:tcPr>
          <w:p w:rsidR="00144949" w:rsidRPr="005B62B6" w:rsidRDefault="00144949" w:rsidP="004B4A00">
            <w:pPr>
              <w:pStyle w:val="120"/>
              <w:jc w:val="center"/>
            </w:pPr>
            <w:r w:rsidRPr="005B62B6">
              <w:t>419</w:t>
            </w:r>
          </w:p>
        </w:tc>
        <w:tc>
          <w:tcPr>
            <w:tcW w:w="1304" w:type="dxa"/>
            <w:shd w:val="clear" w:color="auto" w:fill="auto"/>
            <w:noWrap/>
            <w:vAlign w:val="center"/>
            <w:hideMark/>
          </w:tcPr>
          <w:p w:rsidR="00144949" w:rsidRPr="005B62B6" w:rsidRDefault="00144949" w:rsidP="004B4A00">
            <w:pPr>
              <w:pStyle w:val="120"/>
              <w:jc w:val="center"/>
            </w:pPr>
            <w:r w:rsidRPr="005B62B6">
              <w:t>16</w:t>
            </w:r>
          </w:p>
        </w:tc>
      </w:tr>
      <w:tr w:rsidR="005B62B6" w:rsidRPr="005B62B6" w:rsidTr="00386484">
        <w:trPr>
          <w:cantSplit/>
        </w:trPr>
        <w:tc>
          <w:tcPr>
            <w:tcW w:w="1020" w:type="dxa"/>
            <w:shd w:val="clear" w:color="auto" w:fill="auto"/>
            <w:noWrap/>
            <w:vAlign w:val="center"/>
            <w:hideMark/>
          </w:tcPr>
          <w:p w:rsidR="00144949" w:rsidRPr="005B62B6" w:rsidRDefault="00144949" w:rsidP="00F7487B">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4B4A00">
            <w:pPr>
              <w:pStyle w:val="120"/>
              <w:jc w:val="center"/>
            </w:pPr>
            <w:r w:rsidRPr="005B62B6">
              <w:t>78</w:t>
            </w:r>
          </w:p>
        </w:tc>
        <w:tc>
          <w:tcPr>
            <w:tcW w:w="1304" w:type="dxa"/>
            <w:shd w:val="clear" w:color="auto" w:fill="auto"/>
            <w:noWrap/>
            <w:vAlign w:val="center"/>
            <w:hideMark/>
          </w:tcPr>
          <w:p w:rsidR="00144949" w:rsidRPr="005B62B6" w:rsidRDefault="00144949" w:rsidP="004B4A00">
            <w:pPr>
              <w:pStyle w:val="120"/>
              <w:jc w:val="center"/>
            </w:pPr>
            <w:r w:rsidRPr="005B62B6">
              <w:t>2,380</w:t>
            </w:r>
          </w:p>
        </w:tc>
        <w:tc>
          <w:tcPr>
            <w:tcW w:w="1304" w:type="dxa"/>
            <w:shd w:val="clear" w:color="auto" w:fill="auto"/>
            <w:noWrap/>
            <w:vAlign w:val="center"/>
            <w:hideMark/>
          </w:tcPr>
          <w:p w:rsidR="00144949" w:rsidRPr="005B62B6" w:rsidRDefault="00144949" w:rsidP="004B4A00">
            <w:pPr>
              <w:pStyle w:val="120"/>
              <w:jc w:val="center"/>
            </w:pPr>
            <w:r w:rsidRPr="005B62B6">
              <w:t>31</w:t>
            </w:r>
          </w:p>
        </w:tc>
        <w:tc>
          <w:tcPr>
            <w:tcW w:w="1304" w:type="dxa"/>
            <w:shd w:val="clear" w:color="auto" w:fill="auto"/>
            <w:noWrap/>
            <w:vAlign w:val="center"/>
            <w:hideMark/>
          </w:tcPr>
          <w:p w:rsidR="00144949" w:rsidRPr="005B62B6" w:rsidRDefault="00144949" w:rsidP="004B4A00">
            <w:pPr>
              <w:pStyle w:val="120"/>
              <w:jc w:val="center"/>
            </w:pPr>
            <w:r w:rsidRPr="005B62B6">
              <w:t>196</w:t>
            </w:r>
          </w:p>
        </w:tc>
        <w:tc>
          <w:tcPr>
            <w:tcW w:w="1304" w:type="dxa"/>
            <w:shd w:val="clear" w:color="auto" w:fill="auto"/>
            <w:noWrap/>
            <w:vAlign w:val="center"/>
            <w:hideMark/>
          </w:tcPr>
          <w:p w:rsidR="00144949" w:rsidRPr="005B62B6" w:rsidRDefault="00144949" w:rsidP="004B4A00">
            <w:pPr>
              <w:pStyle w:val="120"/>
              <w:jc w:val="center"/>
            </w:pPr>
            <w:r w:rsidRPr="005B62B6">
              <w:t>1,953</w:t>
            </w:r>
          </w:p>
        </w:tc>
        <w:tc>
          <w:tcPr>
            <w:tcW w:w="1304" w:type="dxa"/>
            <w:shd w:val="clear" w:color="auto" w:fill="auto"/>
            <w:noWrap/>
            <w:vAlign w:val="center"/>
            <w:hideMark/>
          </w:tcPr>
          <w:p w:rsidR="00144949" w:rsidRPr="005B62B6" w:rsidRDefault="00144949" w:rsidP="004B4A00">
            <w:pPr>
              <w:pStyle w:val="120"/>
              <w:jc w:val="center"/>
            </w:pPr>
            <w:r w:rsidRPr="005B62B6">
              <w:t>58</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桃園市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5</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臺中市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臺南市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21</w:t>
            </w:r>
          </w:p>
        </w:tc>
        <w:tc>
          <w:tcPr>
            <w:tcW w:w="1304" w:type="dxa"/>
            <w:shd w:val="clear" w:color="auto" w:fill="auto"/>
            <w:noWrap/>
            <w:vAlign w:val="center"/>
            <w:hideMark/>
          </w:tcPr>
          <w:p w:rsidR="00144949" w:rsidRPr="005B62B6" w:rsidRDefault="00144949" w:rsidP="004B4A00">
            <w:pPr>
              <w:pStyle w:val="120"/>
              <w:jc w:val="center"/>
            </w:pPr>
            <w:r w:rsidRPr="005B62B6">
              <w:t>239</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高雄市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新竹縣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苗栗縣</w:t>
            </w:r>
            <w:r w:rsidRPr="005B62B6">
              <w:rPr>
                <w:sz w:val="12"/>
                <w:szCs w:val="12"/>
              </w:rPr>
              <w:t>*註3</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彰化縣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南投縣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雲林縣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嘉義縣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屏東縣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宜蘭縣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花蓮縣</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臺東縣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澎湖縣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基隆市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新竹市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嘉義市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金門縣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連江縣</w:t>
            </w:r>
          </w:p>
        </w:tc>
        <w:tc>
          <w:tcPr>
            <w:tcW w:w="1304" w:type="dxa"/>
            <w:shd w:val="clear" w:color="auto" w:fill="auto"/>
            <w:noWrap/>
            <w:vAlign w:val="center"/>
            <w:hideMark/>
          </w:tcPr>
          <w:p w:rsidR="00144949" w:rsidRPr="005B62B6" w:rsidRDefault="00144949" w:rsidP="004B4A00">
            <w:pPr>
              <w:pStyle w:val="120"/>
              <w:jc w:val="center"/>
            </w:pPr>
            <w:r w:rsidRPr="005B62B6">
              <w:t>無列管案件</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合計</w:t>
            </w:r>
          </w:p>
        </w:tc>
        <w:tc>
          <w:tcPr>
            <w:tcW w:w="1304" w:type="dxa"/>
            <w:shd w:val="clear" w:color="auto" w:fill="auto"/>
            <w:noWrap/>
            <w:vAlign w:val="center"/>
            <w:hideMark/>
          </w:tcPr>
          <w:p w:rsidR="00144949" w:rsidRPr="005B62B6" w:rsidRDefault="00144949" w:rsidP="004B4A00">
            <w:pPr>
              <w:pStyle w:val="120"/>
              <w:jc w:val="center"/>
            </w:pPr>
            <w:r w:rsidRPr="005B62B6">
              <w:t>250</w:t>
            </w:r>
          </w:p>
        </w:tc>
        <w:tc>
          <w:tcPr>
            <w:tcW w:w="1304" w:type="dxa"/>
            <w:shd w:val="clear" w:color="auto" w:fill="auto"/>
            <w:noWrap/>
            <w:vAlign w:val="center"/>
            <w:hideMark/>
          </w:tcPr>
          <w:p w:rsidR="00144949" w:rsidRPr="005B62B6" w:rsidRDefault="00144949" w:rsidP="004B4A00">
            <w:pPr>
              <w:pStyle w:val="120"/>
              <w:jc w:val="center"/>
            </w:pPr>
            <w:r w:rsidRPr="005B62B6">
              <w:t>5,001</w:t>
            </w:r>
          </w:p>
        </w:tc>
        <w:tc>
          <w:tcPr>
            <w:tcW w:w="1304" w:type="dxa"/>
            <w:shd w:val="clear" w:color="auto" w:fill="auto"/>
            <w:noWrap/>
            <w:vAlign w:val="center"/>
            <w:hideMark/>
          </w:tcPr>
          <w:p w:rsidR="00144949" w:rsidRPr="005B62B6" w:rsidRDefault="00144949" w:rsidP="004B4A00">
            <w:pPr>
              <w:pStyle w:val="120"/>
              <w:jc w:val="center"/>
            </w:pPr>
            <w:r w:rsidRPr="005B62B6">
              <w:t>74</w:t>
            </w:r>
          </w:p>
        </w:tc>
        <w:tc>
          <w:tcPr>
            <w:tcW w:w="1304" w:type="dxa"/>
            <w:shd w:val="clear" w:color="auto" w:fill="auto"/>
            <w:noWrap/>
            <w:vAlign w:val="center"/>
            <w:hideMark/>
          </w:tcPr>
          <w:p w:rsidR="00144949" w:rsidRPr="005B62B6" w:rsidRDefault="00144949" w:rsidP="004B4A00">
            <w:pPr>
              <w:pStyle w:val="120"/>
              <w:jc w:val="center"/>
            </w:pPr>
            <w:r w:rsidRPr="005B62B6">
              <w:t>268</w:t>
            </w:r>
          </w:p>
        </w:tc>
        <w:tc>
          <w:tcPr>
            <w:tcW w:w="1304" w:type="dxa"/>
            <w:shd w:val="clear" w:color="auto" w:fill="auto"/>
            <w:noWrap/>
            <w:vAlign w:val="center"/>
            <w:hideMark/>
          </w:tcPr>
          <w:p w:rsidR="00144949" w:rsidRPr="005B62B6" w:rsidRDefault="00144949" w:rsidP="004B4A00">
            <w:pPr>
              <w:pStyle w:val="120"/>
              <w:jc w:val="center"/>
            </w:pPr>
            <w:r w:rsidRPr="005B62B6">
              <w:t>2,611</w:t>
            </w:r>
          </w:p>
        </w:tc>
        <w:tc>
          <w:tcPr>
            <w:tcW w:w="1304" w:type="dxa"/>
            <w:shd w:val="clear" w:color="auto" w:fill="auto"/>
            <w:noWrap/>
            <w:vAlign w:val="center"/>
            <w:hideMark/>
          </w:tcPr>
          <w:p w:rsidR="00144949" w:rsidRPr="005B62B6" w:rsidRDefault="00144949" w:rsidP="004B4A00">
            <w:pPr>
              <w:pStyle w:val="120"/>
              <w:jc w:val="center"/>
            </w:pPr>
            <w:r w:rsidRPr="005B62B6">
              <w:t>79</w:t>
            </w:r>
          </w:p>
        </w:tc>
      </w:tr>
    </w:tbl>
    <w:p w:rsidR="00144949" w:rsidRPr="005B62B6" w:rsidRDefault="00144949" w:rsidP="004611CC">
      <w:pPr>
        <w:pStyle w:val="120"/>
      </w:pPr>
      <w:r w:rsidRPr="005B62B6">
        <w:t>註1：臺北市另填具空白棟數1，執照數1。</w:t>
      </w:r>
      <w:r w:rsidRPr="005B62B6">
        <w:tab/>
      </w:r>
      <w:r w:rsidRPr="005B62B6">
        <w:tab/>
      </w:r>
      <w:r w:rsidRPr="005B62B6">
        <w:tab/>
      </w:r>
      <w:r w:rsidRPr="005B62B6">
        <w:tab/>
      </w:r>
      <w:r w:rsidRPr="005B62B6">
        <w:tab/>
      </w:r>
      <w:r w:rsidRPr="005B62B6">
        <w:tab/>
      </w:r>
    </w:p>
    <w:p w:rsidR="00144949" w:rsidRPr="005B62B6" w:rsidRDefault="00144949" w:rsidP="004611CC">
      <w:pPr>
        <w:pStyle w:val="120"/>
      </w:pPr>
      <w:r w:rsidRPr="005B62B6">
        <w:t>註2：新北市表示，棟數及戶數數量為使用執照登載數量，部分執照未登載棟數及戶數。</w:t>
      </w:r>
      <w:r w:rsidRPr="005B62B6">
        <w:tab/>
      </w:r>
      <w:r w:rsidRPr="005B62B6">
        <w:tab/>
      </w:r>
      <w:r w:rsidRPr="005B62B6">
        <w:tab/>
      </w:r>
      <w:r w:rsidRPr="005B62B6">
        <w:tab/>
      </w:r>
      <w:r w:rsidRPr="005B62B6">
        <w:tab/>
      </w:r>
      <w:r w:rsidRPr="005B62B6">
        <w:tab/>
      </w:r>
    </w:p>
    <w:p w:rsidR="00144949" w:rsidRPr="005B62B6" w:rsidRDefault="00144949" w:rsidP="004611CC">
      <w:pPr>
        <w:pStyle w:val="120"/>
      </w:pPr>
      <w:r w:rsidRPr="005B62B6">
        <w:t>註3：苗栗縣表示，71~91年間有諸多執照資料尚未建置至系統。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C778F7" w:rsidP="00F2668E">
      <w:pPr>
        <w:pStyle w:val="af5"/>
        <w:rPr>
          <w:rFonts w:ascii="Times New Roman"/>
          <w:bCs/>
          <w:kern w:val="32"/>
        </w:rPr>
      </w:pPr>
      <w:r w:rsidRPr="005B62B6">
        <w:t>資料來源：營建署。</w:t>
      </w:r>
    </w:p>
    <w:p w:rsidR="008450D0" w:rsidRPr="005B62B6" w:rsidRDefault="00870405" w:rsidP="00F2668E">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公眾使用建築物因幅射屋需拆除建物之棟(戶)數量統計表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244467">
        <w:trPr>
          <w:cantSplit/>
        </w:trPr>
        <w:tc>
          <w:tcPr>
            <w:tcW w:w="1020" w:type="dxa"/>
            <w:vMerge w:val="restart"/>
            <w:shd w:val="clear" w:color="auto" w:fill="auto"/>
            <w:noWrap/>
            <w:vAlign w:val="center"/>
            <w:hideMark/>
          </w:tcPr>
          <w:p w:rsidR="00144949" w:rsidRPr="005B62B6" w:rsidRDefault="00144949" w:rsidP="00F4595C">
            <w:pPr>
              <w:pStyle w:val="12"/>
            </w:pPr>
            <w:r w:rsidRPr="005B62B6">
              <w:t>縣市別</w:t>
            </w:r>
          </w:p>
        </w:tc>
        <w:tc>
          <w:tcPr>
            <w:tcW w:w="3912" w:type="dxa"/>
            <w:gridSpan w:val="3"/>
            <w:shd w:val="clear" w:color="auto" w:fill="auto"/>
            <w:noWrap/>
            <w:vAlign w:val="center"/>
            <w:hideMark/>
          </w:tcPr>
          <w:p w:rsidR="00144949" w:rsidRPr="005B62B6" w:rsidRDefault="00144949" w:rsidP="00F4595C">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F4595C">
            <w:pPr>
              <w:pStyle w:val="12"/>
              <w:spacing w:before="0" w:after="0"/>
            </w:pPr>
            <w:r w:rsidRPr="005B62B6">
              <w:t>非供公眾使用建築物</w:t>
            </w:r>
          </w:p>
        </w:tc>
      </w:tr>
      <w:tr w:rsidR="005B62B6" w:rsidRPr="005B62B6" w:rsidTr="00244467">
        <w:trPr>
          <w:cantSplit/>
        </w:trPr>
        <w:tc>
          <w:tcPr>
            <w:tcW w:w="1020" w:type="dxa"/>
            <w:vMerge/>
            <w:vAlign w:val="center"/>
            <w:hideMark/>
          </w:tcPr>
          <w:p w:rsidR="00144949" w:rsidRPr="005B62B6" w:rsidRDefault="00144949" w:rsidP="00F4595C">
            <w:pPr>
              <w:pStyle w:val="12"/>
            </w:pPr>
          </w:p>
        </w:tc>
        <w:tc>
          <w:tcPr>
            <w:tcW w:w="1304" w:type="dxa"/>
            <w:shd w:val="clear" w:color="auto" w:fill="auto"/>
            <w:noWrap/>
            <w:vAlign w:val="center"/>
            <w:hideMark/>
          </w:tcPr>
          <w:p w:rsidR="00144949" w:rsidRPr="005B62B6" w:rsidRDefault="00144949" w:rsidP="00F4595C">
            <w:pPr>
              <w:pStyle w:val="12"/>
              <w:spacing w:before="0" w:after="0"/>
            </w:pPr>
            <w:r w:rsidRPr="005B62B6">
              <w:t>棟</w:t>
            </w:r>
          </w:p>
        </w:tc>
        <w:tc>
          <w:tcPr>
            <w:tcW w:w="1304" w:type="dxa"/>
            <w:shd w:val="clear" w:color="auto" w:fill="auto"/>
            <w:noWrap/>
            <w:vAlign w:val="center"/>
            <w:hideMark/>
          </w:tcPr>
          <w:p w:rsidR="00144949" w:rsidRPr="005B62B6" w:rsidRDefault="00144949" w:rsidP="00F4595C">
            <w:pPr>
              <w:pStyle w:val="12"/>
              <w:spacing w:before="0" w:after="0"/>
            </w:pPr>
            <w:r w:rsidRPr="005B62B6">
              <w:t>戶</w:t>
            </w:r>
          </w:p>
        </w:tc>
        <w:tc>
          <w:tcPr>
            <w:tcW w:w="1304" w:type="dxa"/>
            <w:shd w:val="clear" w:color="auto" w:fill="auto"/>
            <w:noWrap/>
            <w:vAlign w:val="center"/>
            <w:hideMark/>
          </w:tcPr>
          <w:p w:rsidR="00144949" w:rsidRPr="005B62B6" w:rsidRDefault="00144949" w:rsidP="00F4595C">
            <w:pPr>
              <w:pStyle w:val="12"/>
              <w:spacing w:before="0" w:after="0"/>
            </w:pPr>
            <w:r w:rsidRPr="005B62B6">
              <w:t>執照數</w:t>
            </w:r>
          </w:p>
        </w:tc>
        <w:tc>
          <w:tcPr>
            <w:tcW w:w="1304" w:type="dxa"/>
            <w:shd w:val="clear" w:color="auto" w:fill="auto"/>
            <w:noWrap/>
            <w:vAlign w:val="center"/>
            <w:hideMark/>
          </w:tcPr>
          <w:p w:rsidR="00144949" w:rsidRPr="005B62B6" w:rsidRDefault="00144949" w:rsidP="00F4595C">
            <w:pPr>
              <w:pStyle w:val="12"/>
              <w:spacing w:before="0" w:after="0"/>
            </w:pPr>
            <w:r w:rsidRPr="005B62B6">
              <w:t>棟</w:t>
            </w:r>
          </w:p>
        </w:tc>
        <w:tc>
          <w:tcPr>
            <w:tcW w:w="1304" w:type="dxa"/>
            <w:shd w:val="clear" w:color="auto" w:fill="auto"/>
            <w:noWrap/>
            <w:vAlign w:val="center"/>
            <w:hideMark/>
          </w:tcPr>
          <w:p w:rsidR="00144949" w:rsidRPr="005B62B6" w:rsidRDefault="00144949" w:rsidP="00F4595C">
            <w:pPr>
              <w:pStyle w:val="12"/>
              <w:spacing w:before="0" w:after="0"/>
            </w:pPr>
            <w:r w:rsidRPr="005B62B6">
              <w:t>戶</w:t>
            </w:r>
          </w:p>
        </w:tc>
        <w:tc>
          <w:tcPr>
            <w:tcW w:w="1304" w:type="dxa"/>
            <w:shd w:val="clear" w:color="auto" w:fill="auto"/>
            <w:noWrap/>
            <w:vAlign w:val="center"/>
            <w:hideMark/>
          </w:tcPr>
          <w:p w:rsidR="00144949" w:rsidRPr="005B62B6" w:rsidRDefault="00144949" w:rsidP="00F4595C">
            <w:pPr>
              <w:pStyle w:val="12"/>
              <w:spacing w:before="0" w:after="0"/>
            </w:pPr>
            <w:r w:rsidRPr="005B62B6">
              <w:t>執照數</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臺北市</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12</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188</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6</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4</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91</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2</w:t>
            </w:r>
          </w:p>
        </w:tc>
      </w:tr>
      <w:tr w:rsidR="005B62B6" w:rsidRPr="005B62B6" w:rsidTr="00244467">
        <w:trPr>
          <w:cantSplit/>
        </w:trPr>
        <w:tc>
          <w:tcPr>
            <w:tcW w:w="1020" w:type="dxa"/>
            <w:shd w:val="clear" w:color="auto" w:fill="auto"/>
            <w:noWrap/>
            <w:vAlign w:val="center"/>
          </w:tcPr>
          <w:p w:rsidR="00386484" w:rsidRPr="005B62B6" w:rsidRDefault="00386484" w:rsidP="00F4595C">
            <w:pPr>
              <w:pStyle w:val="120"/>
              <w:jc w:val="center"/>
            </w:pPr>
            <w:r w:rsidRPr="005B62B6">
              <w:t>新北市</w:t>
            </w:r>
          </w:p>
        </w:tc>
        <w:tc>
          <w:tcPr>
            <w:tcW w:w="1304" w:type="dxa"/>
            <w:tcBorders>
              <w:right w:val="nil"/>
            </w:tcBorders>
            <w:shd w:val="clear" w:color="auto" w:fill="auto"/>
            <w:noWrap/>
            <w:vAlign w:val="center"/>
          </w:tcPr>
          <w:p w:rsidR="00386484" w:rsidRPr="005B62B6" w:rsidRDefault="00386484" w:rsidP="00F4595C">
            <w:pPr>
              <w:pStyle w:val="120"/>
              <w:jc w:val="center"/>
            </w:pPr>
            <w:r w:rsidRPr="005B62B6">
              <w:t>無統計數據</w:t>
            </w: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tcBorders>
            <w:shd w:val="clear" w:color="auto" w:fill="auto"/>
            <w:noWrap/>
            <w:vAlign w:val="center"/>
          </w:tcPr>
          <w:p w:rsidR="00386484" w:rsidRPr="005B62B6" w:rsidRDefault="00386484" w:rsidP="00F4595C">
            <w:pPr>
              <w:pStyle w:val="120"/>
              <w:jc w:val="center"/>
            </w:pP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桃園市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臺中市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臺南市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高雄市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新竹縣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苗栗縣</w:t>
            </w:r>
            <w:r w:rsidRPr="005B62B6">
              <w:rPr>
                <w:sz w:val="16"/>
                <w:szCs w:val="16"/>
              </w:rPr>
              <w:t>註1</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彰化縣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南投縣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雲林縣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嘉義縣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屏東縣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宜蘭縣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花蓮縣</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臺東縣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澎湖縣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基隆市</w:t>
            </w:r>
          </w:p>
        </w:tc>
        <w:tc>
          <w:tcPr>
            <w:tcW w:w="1304" w:type="dxa"/>
            <w:shd w:val="clear" w:color="auto" w:fill="auto"/>
            <w:noWrap/>
            <w:vAlign w:val="center"/>
            <w:hideMark/>
          </w:tcPr>
          <w:p w:rsidR="00144949" w:rsidRPr="005B62B6" w:rsidRDefault="00144949" w:rsidP="00F4595C">
            <w:pPr>
              <w:pStyle w:val="120"/>
              <w:jc w:val="center"/>
            </w:pPr>
            <w:r w:rsidRPr="005B62B6">
              <w:t>32</w:t>
            </w:r>
          </w:p>
        </w:tc>
        <w:tc>
          <w:tcPr>
            <w:tcW w:w="1304" w:type="dxa"/>
            <w:shd w:val="clear" w:color="auto" w:fill="auto"/>
            <w:noWrap/>
            <w:vAlign w:val="center"/>
            <w:hideMark/>
          </w:tcPr>
          <w:p w:rsidR="00144949" w:rsidRPr="005B62B6" w:rsidRDefault="00144949" w:rsidP="00F4595C">
            <w:pPr>
              <w:pStyle w:val="120"/>
              <w:jc w:val="center"/>
            </w:pPr>
            <w:r w:rsidRPr="005B62B6">
              <w:t>88</w:t>
            </w:r>
          </w:p>
        </w:tc>
        <w:tc>
          <w:tcPr>
            <w:tcW w:w="1304" w:type="dxa"/>
            <w:shd w:val="clear" w:color="auto" w:fill="auto"/>
            <w:noWrap/>
            <w:vAlign w:val="center"/>
            <w:hideMark/>
          </w:tcPr>
          <w:p w:rsidR="00144949" w:rsidRPr="005B62B6" w:rsidRDefault="00144949" w:rsidP="00F4595C">
            <w:pPr>
              <w:pStyle w:val="120"/>
              <w:jc w:val="center"/>
            </w:pPr>
            <w:r w:rsidRPr="005B62B6">
              <w:t>4</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新竹市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嘉義市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金門縣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連江縣</w:t>
            </w:r>
          </w:p>
        </w:tc>
        <w:tc>
          <w:tcPr>
            <w:tcW w:w="1304" w:type="dxa"/>
            <w:shd w:val="clear" w:color="auto" w:fill="auto"/>
            <w:noWrap/>
            <w:vAlign w:val="center"/>
            <w:hideMark/>
          </w:tcPr>
          <w:p w:rsidR="00144949" w:rsidRPr="005B62B6" w:rsidRDefault="00144949" w:rsidP="00F4595C">
            <w:pPr>
              <w:pStyle w:val="120"/>
              <w:jc w:val="center"/>
            </w:pPr>
            <w:r w:rsidRPr="005B62B6">
              <w:t>無列管案件</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合計</w:t>
            </w:r>
          </w:p>
        </w:tc>
        <w:tc>
          <w:tcPr>
            <w:tcW w:w="1304" w:type="dxa"/>
            <w:shd w:val="clear" w:color="auto" w:fill="auto"/>
            <w:noWrap/>
            <w:vAlign w:val="center"/>
            <w:hideMark/>
          </w:tcPr>
          <w:p w:rsidR="00144949" w:rsidRPr="005B62B6" w:rsidRDefault="00144949" w:rsidP="00F4595C">
            <w:pPr>
              <w:pStyle w:val="120"/>
              <w:jc w:val="center"/>
            </w:pPr>
            <w:r w:rsidRPr="005B62B6">
              <w:t>44</w:t>
            </w:r>
          </w:p>
        </w:tc>
        <w:tc>
          <w:tcPr>
            <w:tcW w:w="1304" w:type="dxa"/>
            <w:shd w:val="clear" w:color="auto" w:fill="auto"/>
            <w:noWrap/>
            <w:vAlign w:val="center"/>
            <w:hideMark/>
          </w:tcPr>
          <w:p w:rsidR="00144949" w:rsidRPr="005B62B6" w:rsidRDefault="00144949" w:rsidP="00F4595C">
            <w:pPr>
              <w:pStyle w:val="120"/>
              <w:jc w:val="center"/>
            </w:pPr>
            <w:r w:rsidRPr="005B62B6">
              <w:t>276</w:t>
            </w:r>
          </w:p>
        </w:tc>
        <w:tc>
          <w:tcPr>
            <w:tcW w:w="1304" w:type="dxa"/>
            <w:shd w:val="clear" w:color="auto" w:fill="auto"/>
            <w:noWrap/>
            <w:vAlign w:val="center"/>
            <w:hideMark/>
          </w:tcPr>
          <w:p w:rsidR="00144949" w:rsidRPr="005B62B6" w:rsidRDefault="00144949" w:rsidP="00F4595C">
            <w:pPr>
              <w:pStyle w:val="120"/>
              <w:jc w:val="center"/>
            </w:pPr>
            <w:r w:rsidRPr="005B62B6">
              <w:t>10</w:t>
            </w:r>
          </w:p>
        </w:tc>
        <w:tc>
          <w:tcPr>
            <w:tcW w:w="1304" w:type="dxa"/>
            <w:shd w:val="clear" w:color="auto" w:fill="auto"/>
            <w:noWrap/>
            <w:vAlign w:val="center"/>
            <w:hideMark/>
          </w:tcPr>
          <w:p w:rsidR="00144949" w:rsidRPr="005B62B6" w:rsidRDefault="00144949" w:rsidP="00F4595C">
            <w:pPr>
              <w:pStyle w:val="120"/>
              <w:jc w:val="center"/>
            </w:pPr>
            <w:r w:rsidRPr="005B62B6">
              <w:t>4</w:t>
            </w:r>
          </w:p>
        </w:tc>
        <w:tc>
          <w:tcPr>
            <w:tcW w:w="1304" w:type="dxa"/>
            <w:shd w:val="clear" w:color="auto" w:fill="auto"/>
            <w:noWrap/>
            <w:vAlign w:val="center"/>
            <w:hideMark/>
          </w:tcPr>
          <w:p w:rsidR="00144949" w:rsidRPr="005B62B6" w:rsidRDefault="00144949" w:rsidP="00F4595C">
            <w:pPr>
              <w:pStyle w:val="120"/>
              <w:jc w:val="center"/>
            </w:pPr>
            <w:r w:rsidRPr="005B62B6">
              <w:t>91</w:t>
            </w:r>
          </w:p>
        </w:tc>
        <w:tc>
          <w:tcPr>
            <w:tcW w:w="1304" w:type="dxa"/>
            <w:shd w:val="clear" w:color="auto" w:fill="auto"/>
            <w:noWrap/>
            <w:vAlign w:val="center"/>
            <w:hideMark/>
          </w:tcPr>
          <w:p w:rsidR="00144949" w:rsidRPr="005B62B6" w:rsidRDefault="00144949" w:rsidP="00F4595C">
            <w:pPr>
              <w:pStyle w:val="120"/>
              <w:jc w:val="center"/>
            </w:pPr>
            <w:r w:rsidRPr="005B62B6">
              <w:t>2</w:t>
            </w:r>
          </w:p>
        </w:tc>
      </w:tr>
    </w:tbl>
    <w:p w:rsidR="00144949" w:rsidRPr="005B62B6" w:rsidRDefault="00144949" w:rsidP="00F4595C">
      <w:pPr>
        <w:pStyle w:val="120"/>
      </w:pPr>
      <w:r w:rsidRPr="005B62B6">
        <w:t>註1：苗栗縣來函表示，71~91年間有諸多執照資料尚未建置至系統。</w:t>
      </w:r>
    </w:p>
    <w:p w:rsidR="00666616" w:rsidRPr="005B62B6" w:rsidRDefault="00C778F7" w:rsidP="00DF6DC5">
      <w:pPr>
        <w:pStyle w:val="af5"/>
        <w:rPr>
          <w:rFonts w:ascii="Times New Roman"/>
          <w:kern w:val="32"/>
        </w:rPr>
      </w:pPr>
      <w:r w:rsidRPr="005B62B6">
        <w:t>資料來源：營建署。</w:t>
      </w:r>
    </w:p>
    <w:p w:rsidR="008450D0" w:rsidRPr="005B62B6" w:rsidRDefault="00870405" w:rsidP="00DF6DC5">
      <w:pPr>
        <w:pStyle w:val="a0"/>
        <w:pageBreakBefore/>
        <w:numPr>
          <w:ilvl w:val="0"/>
          <w:numId w:val="3"/>
        </w:numPr>
        <w:tabs>
          <w:tab w:val="clear" w:pos="1440"/>
        </w:tabs>
        <w:ind w:left="1361" w:hangingChars="400" w:hanging="1361"/>
        <w:rPr>
          <w:rFonts w:ascii="Times New Roman"/>
        </w:rPr>
      </w:pPr>
      <w:r w:rsidRPr="005B62B6">
        <w:rPr>
          <w:rFonts w:ascii="Times New Roman"/>
        </w:rPr>
        <w:lastRenderedPageBreak/>
        <w:t>各</w:t>
      </w:r>
      <w:r w:rsidR="005B62B6" w:rsidRPr="005B62B6">
        <w:rPr>
          <w:rFonts w:hAnsi="標楷體" w:hint="eastAsia"/>
        </w:rPr>
        <w:t>直轄市、縣(市)</w:t>
      </w:r>
      <w:r w:rsidRPr="005B62B6">
        <w:rPr>
          <w:rFonts w:ascii="Times New Roman"/>
        </w:rPr>
        <w:t>對於</w:t>
      </w:r>
      <w:r w:rsidR="009A0901" w:rsidRPr="005B62B6">
        <w:rPr>
          <w:rFonts w:ascii="Times New Roman"/>
        </w:rPr>
        <w:t>位</w:t>
      </w:r>
      <w:r w:rsidRPr="005B62B6">
        <w:rPr>
          <w:rFonts w:ascii="Times New Roman"/>
        </w:rPr>
        <w:t>處活動斷層兩側之既有建築物之評估、列管、補強或拆除重建之辦理情形統計表</w:t>
      </w:r>
    </w:p>
    <w:tbl>
      <w:tblPr>
        <w:tblW w:w="88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64"/>
        <w:gridCol w:w="1191"/>
        <w:gridCol w:w="794"/>
        <w:gridCol w:w="794"/>
        <w:gridCol w:w="794"/>
        <w:gridCol w:w="794"/>
        <w:gridCol w:w="567"/>
        <w:gridCol w:w="794"/>
        <w:gridCol w:w="794"/>
        <w:gridCol w:w="567"/>
        <w:gridCol w:w="794"/>
      </w:tblGrid>
      <w:tr w:rsidR="005B62B6" w:rsidRPr="005B62B6" w:rsidTr="000D05DC">
        <w:trPr>
          <w:cantSplit/>
        </w:trPr>
        <w:tc>
          <w:tcPr>
            <w:tcW w:w="964" w:type="dxa"/>
            <w:vMerge w:val="restart"/>
            <w:shd w:val="clear" w:color="auto" w:fill="auto"/>
            <w:noWrap/>
            <w:vAlign w:val="center"/>
            <w:hideMark/>
          </w:tcPr>
          <w:p w:rsidR="00D234A4" w:rsidRPr="005B62B6" w:rsidRDefault="00D234A4" w:rsidP="00BD01CC">
            <w:pPr>
              <w:pStyle w:val="12"/>
            </w:pPr>
            <w:r w:rsidRPr="005B62B6">
              <w:t>縣市別</w:t>
            </w:r>
          </w:p>
        </w:tc>
        <w:tc>
          <w:tcPr>
            <w:tcW w:w="1191" w:type="dxa"/>
            <w:vMerge w:val="restart"/>
            <w:shd w:val="clear" w:color="auto" w:fill="auto"/>
            <w:noWrap/>
            <w:vAlign w:val="center"/>
            <w:hideMark/>
          </w:tcPr>
          <w:p w:rsidR="00D234A4" w:rsidRPr="005B62B6" w:rsidRDefault="00D234A4" w:rsidP="00BD01CC">
            <w:pPr>
              <w:pStyle w:val="12"/>
            </w:pPr>
            <w:r w:rsidRPr="005B62B6">
              <w:t>活動斷層</w:t>
            </w:r>
            <w:r w:rsidRPr="005B62B6">
              <w:rPr>
                <w:rFonts w:hint="eastAsia"/>
              </w:rPr>
              <w:br/>
            </w:r>
            <w:r w:rsidRPr="005B62B6">
              <w:t>名稱</w:t>
            </w:r>
          </w:p>
        </w:tc>
        <w:tc>
          <w:tcPr>
            <w:tcW w:w="2382" w:type="dxa"/>
            <w:gridSpan w:val="3"/>
            <w:shd w:val="clear" w:color="auto" w:fill="auto"/>
            <w:noWrap/>
            <w:vAlign w:val="center"/>
            <w:hideMark/>
          </w:tcPr>
          <w:p w:rsidR="00D234A4" w:rsidRPr="005B62B6" w:rsidRDefault="00D234A4" w:rsidP="00BD01CC">
            <w:pPr>
              <w:pStyle w:val="12"/>
            </w:pPr>
            <w:r w:rsidRPr="005B62B6">
              <w:t>既有建築物數量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已辦理評估數量</w:t>
            </w:r>
          </w:p>
        </w:tc>
        <w:tc>
          <w:tcPr>
            <w:tcW w:w="567" w:type="dxa"/>
            <w:vMerge w:val="restart"/>
            <w:shd w:val="clear" w:color="auto" w:fill="auto"/>
            <w:noWrap/>
            <w:vAlign w:val="center"/>
            <w:hideMark/>
          </w:tcPr>
          <w:p w:rsidR="00D234A4" w:rsidRPr="005B62B6" w:rsidRDefault="00D234A4" w:rsidP="00284A4B">
            <w:pPr>
              <w:pStyle w:val="12"/>
              <w:spacing w:before="0" w:after="0"/>
            </w:pPr>
            <w:r w:rsidRPr="005B62B6">
              <w:t>列管數量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應補強數量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已補強數量</w:t>
            </w:r>
          </w:p>
        </w:tc>
        <w:tc>
          <w:tcPr>
            <w:tcW w:w="567" w:type="dxa"/>
            <w:vMerge w:val="restart"/>
            <w:shd w:val="clear" w:color="auto" w:fill="auto"/>
            <w:noWrap/>
            <w:vAlign w:val="center"/>
            <w:hideMark/>
          </w:tcPr>
          <w:p w:rsidR="00D234A4" w:rsidRPr="005B62B6" w:rsidRDefault="00D234A4" w:rsidP="00284A4B">
            <w:pPr>
              <w:pStyle w:val="12"/>
              <w:spacing w:before="0" w:after="0"/>
            </w:pPr>
            <w:r w:rsidRPr="005B62B6">
              <w:t>建議拆除數量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已拆除數量</w:t>
            </w:r>
          </w:p>
        </w:tc>
      </w:tr>
      <w:tr w:rsidR="005B62B6" w:rsidRPr="005B62B6" w:rsidTr="000D05DC">
        <w:trPr>
          <w:cantSplit/>
        </w:trPr>
        <w:tc>
          <w:tcPr>
            <w:tcW w:w="964" w:type="dxa"/>
            <w:vMerge/>
            <w:vAlign w:val="center"/>
            <w:hideMark/>
          </w:tcPr>
          <w:p w:rsidR="00D234A4" w:rsidRPr="005B62B6" w:rsidRDefault="00D234A4" w:rsidP="00BD01CC">
            <w:pPr>
              <w:pStyle w:val="12"/>
            </w:pPr>
          </w:p>
        </w:tc>
        <w:tc>
          <w:tcPr>
            <w:tcW w:w="1191" w:type="dxa"/>
            <w:vMerge/>
            <w:vAlign w:val="center"/>
            <w:hideMark/>
          </w:tcPr>
          <w:p w:rsidR="00D234A4" w:rsidRPr="005B62B6" w:rsidRDefault="00D234A4" w:rsidP="00BD01CC">
            <w:pPr>
              <w:pStyle w:val="12"/>
            </w:pPr>
          </w:p>
        </w:tc>
        <w:tc>
          <w:tcPr>
            <w:tcW w:w="794" w:type="dxa"/>
            <w:shd w:val="clear" w:color="auto" w:fill="auto"/>
            <w:noWrap/>
            <w:vAlign w:val="center"/>
            <w:hideMark/>
          </w:tcPr>
          <w:p w:rsidR="00D234A4" w:rsidRPr="005B62B6" w:rsidRDefault="00D234A4" w:rsidP="00BD01CC">
            <w:pPr>
              <w:pStyle w:val="12"/>
            </w:pPr>
            <w:r w:rsidRPr="005B62B6">
              <w:t>棟</w:t>
            </w:r>
          </w:p>
        </w:tc>
        <w:tc>
          <w:tcPr>
            <w:tcW w:w="794" w:type="dxa"/>
            <w:shd w:val="clear" w:color="auto" w:fill="auto"/>
            <w:noWrap/>
            <w:vAlign w:val="center"/>
            <w:hideMark/>
          </w:tcPr>
          <w:p w:rsidR="00D234A4" w:rsidRPr="005B62B6" w:rsidRDefault="00D234A4" w:rsidP="00BD01CC">
            <w:pPr>
              <w:pStyle w:val="12"/>
            </w:pPr>
            <w:r w:rsidRPr="005B62B6">
              <w:t>戶</w:t>
            </w:r>
          </w:p>
        </w:tc>
        <w:tc>
          <w:tcPr>
            <w:tcW w:w="794" w:type="dxa"/>
            <w:shd w:val="clear" w:color="auto" w:fill="auto"/>
            <w:noWrap/>
            <w:vAlign w:val="center"/>
            <w:hideMark/>
          </w:tcPr>
          <w:p w:rsidR="00D234A4" w:rsidRPr="005B62B6" w:rsidRDefault="00D234A4" w:rsidP="00BD01CC">
            <w:pPr>
              <w:pStyle w:val="12"/>
            </w:pPr>
            <w:r w:rsidRPr="005B62B6">
              <w:t>執照數</w:t>
            </w:r>
          </w:p>
        </w:tc>
        <w:tc>
          <w:tcPr>
            <w:tcW w:w="794" w:type="dxa"/>
            <w:vMerge/>
            <w:vAlign w:val="center"/>
            <w:hideMark/>
          </w:tcPr>
          <w:p w:rsidR="00D234A4" w:rsidRPr="005B62B6" w:rsidRDefault="00D234A4" w:rsidP="00BD01CC">
            <w:pPr>
              <w:pStyle w:val="12"/>
            </w:pPr>
          </w:p>
        </w:tc>
        <w:tc>
          <w:tcPr>
            <w:tcW w:w="567"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c>
          <w:tcPr>
            <w:tcW w:w="567"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臺北市</w:t>
            </w:r>
            <w:r w:rsidRPr="005B62B6">
              <w:rPr>
                <w:sz w:val="16"/>
                <w:szCs w:val="16"/>
              </w:rPr>
              <w:t>註1</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新北市</w:t>
            </w:r>
            <w:r w:rsidRPr="005B62B6">
              <w:rPr>
                <w:sz w:val="16"/>
                <w:szCs w:val="16"/>
              </w:rPr>
              <w:t>註2</w:t>
            </w:r>
          </w:p>
        </w:tc>
        <w:tc>
          <w:tcPr>
            <w:tcW w:w="1191" w:type="dxa"/>
            <w:shd w:val="clear" w:color="auto" w:fill="auto"/>
            <w:noWrap/>
            <w:vAlign w:val="center"/>
            <w:hideMark/>
          </w:tcPr>
          <w:p w:rsidR="00144949" w:rsidRPr="005B62B6" w:rsidRDefault="00144949" w:rsidP="00BD01CC">
            <w:pPr>
              <w:pStyle w:val="120"/>
              <w:jc w:val="center"/>
            </w:pPr>
            <w:r w:rsidRPr="005B62B6">
              <w:t>無統計數據</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桃園市</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臺中市</w:t>
            </w:r>
            <w:r w:rsidRPr="005B62B6">
              <w:rPr>
                <w:sz w:val="16"/>
                <w:szCs w:val="16"/>
              </w:rPr>
              <w:t>註3</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臺南市</w:t>
            </w:r>
          </w:p>
        </w:tc>
        <w:tc>
          <w:tcPr>
            <w:tcW w:w="1191" w:type="dxa"/>
            <w:shd w:val="clear" w:color="auto" w:fill="auto"/>
            <w:noWrap/>
            <w:vAlign w:val="center"/>
            <w:hideMark/>
          </w:tcPr>
          <w:p w:rsidR="00144949" w:rsidRPr="005B62B6" w:rsidRDefault="00144949" w:rsidP="00BD01CC">
            <w:pPr>
              <w:pStyle w:val="120"/>
              <w:jc w:val="center"/>
            </w:pPr>
            <w:r w:rsidRPr="005B62B6">
              <w:t>無公告</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高雄市</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新竹縣</w:t>
            </w:r>
          </w:p>
        </w:tc>
        <w:tc>
          <w:tcPr>
            <w:tcW w:w="1191" w:type="dxa"/>
            <w:shd w:val="clear" w:color="auto" w:fill="auto"/>
            <w:noWrap/>
            <w:vAlign w:val="center"/>
            <w:hideMark/>
          </w:tcPr>
          <w:p w:rsidR="00144949" w:rsidRPr="005B62B6" w:rsidRDefault="00144949" w:rsidP="00BD01CC">
            <w:pPr>
              <w:pStyle w:val="120"/>
              <w:jc w:val="center"/>
            </w:pPr>
            <w:r w:rsidRPr="005B62B6">
              <w:t>無資料</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苗栗縣</w:t>
            </w:r>
            <w:r w:rsidRPr="005B62B6">
              <w:rPr>
                <w:sz w:val="16"/>
                <w:szCs w:val="16"/>
              </w:rPr>
              <w:t>註4</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彰化縣</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567"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567"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南投縣</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284A4B">
        <w:trPr>
          <w:cantSplit/>
        </w:trPr>
        <w:tc>
          <w:tcPr>
            <w:tcW w:w="964" w:type="dxa"/>
            <w:shd w:val="clear" w:color="auto" w:fill="auto"/>
            <w:noWrap/>
            <w:vAlign w:val="center"/>
            <w:hideMark/>
          </w:tcPr>
          <w:p w:rsidR="00144949" w:rsidRPr="005B62B6" w:rsidRDefault="00144949" w:rsidP="00BD01CC">
            <w:pPr>
              <w:pStyle w:val="120"/>
              <w:jc w:val="center"/>
            </w:pPr>
            <w:r w:rsidRPr="005B62B6">
              <w:t>雲林縣</w:t>
            </w:r>
          </w:p>
        </w:tc>
        <w:tc>
          <w:tcPr>
            <w:tcW w:w="1191" w:type="dxa"/>
            <w:tcBorders>
              <w:bottom w:val="single" w:sz="4" w:space="0" w:color="auto"/>
            </w:tcBorders>
            <w:shd w:val="clear" w:color="auto" w:fill="auto"/>
            <w:noWrap/>
            <w:vAlign w:val="center"/>
            <w:hideMark/>
          </w:tcPr>
          <w:p w:rsidR="00144949" w:rsidRPr="005B62B6" w:rsidRDefault="00144949" w:rsidP="00BD01CC">
            <w:pPr>
              <w:pStyle w:val="120"/>
              <w:jc w:val="center"/>
            </w:pPr>
            <w:r w:rsidRPr="005B62B6">
              <w:t>無</w:t>
            </w: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r>
      <w:tr w:rsidR="005B62B6" w:rsidRPr="005B62B6" w:rsidTr="00284A4B">
        <w:trPr>
          <w:cantSplit/>
        </w:trPr>
        <w:tc>
          <w:tcPr>
            <w:tcW w:w="964" w:type="dxa"/>
            <w:shd w:val="clear" w:color="auto" w:fill="auto"/>
            <w:noWrap/>
            <w:vAlign w:val="center"/>
            <w:hideMark/>
          </w:tcPr>
          <w:p w:rsidR="00284A4B" w:rsidRPr="005B62B6" w:rsidRDefault="00284A4B" w:rsidP="00BD01CC">
            <w:pPr>
              <w:pStyle w:val="120"/>
              <w:jc w:val="center"/>
            </w:pPr>
            <w:r w:rsidRPr="005B62B6">
              <w:t>嘉義縣</w:t>
            </w:r>
          </w:p>
        </w:tc>
        <w:tc>
          <w:tcPr>
            <w:tcW w:w="3573" w:type="dxa"/>
            <w:gridSpan w:val="4"/>
            <w:tcBorders>
              <w:right w:val="nil"/>
            </w:tcBorders>
            <w:shd w:val="clear" w:color="auto" w:fill="auto"/>
            <w:noWrap/>
            <w:vAlign w:val="center"/>
            <w:hideMark/>
          </w:tcPr>
          <w:p w:rsidR="00284A4B" w:rsidRPr="005B62B6" w:rsidRDefault="00284A4B" w:rsidP="00BD01CC">
            <w:pPr>
              <w:pStyle w:val="120"/>
              <w:jc w:val="center"/>
            </w:pPr>
            <w:r w:rsidRPr="005B62B6">
              <w:t>無活動斷層帶之建築物列管清冊</w:t>
            </w: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567"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567"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tcBorders>
            <w:shd w:val="clear" w:color="auto" w:fill="auto"/>
            <w:noWrap/>
            <w:vAlign w:val="center"/>
            <w:hideMark/>
          </w:tcPr>
          <w:p w:rsidR="00284A4B" w:rsidRPr="005B62B6" w:rsidRDefault="00284A4B" w:rsidP="00BD01CC">
            <w:pPr>
              <w:pStyle w:val="120"/>
              <w:jc w:val="center"/>
            </w:pPr>
          </w:p>
        </w:tc>
      </w:tr>
      <w:tr w:rsidR="005B62B6" w:rsidRPr="005B62B6" w:rsidTr="000D05DC">
        <w:trPr>
          <w:cantSplit/>
        </w:trPr>
        <w:tc>
          <w:tcPr>
            <w:tcW w:w="964" w:type="dxa"/>
            <w:vMerge w:val="restart"/>
            <w:shd w:val="clear" w:color="auto" w:fill="auto"/>
            <w:noWrap/>
            <w:vAlign w:val="center"/>
          </w:tcPr>
          <w:p w:rsidR="00626485" w:rsidRPr="005B62B6" w:rsidRDefault="00626485" w:rsidP="00BD01CC">
            <w:pPr>
              <w:pStyle w:val="120"/>
              <w:jc w:val="center"/>
            </w:pPr>
            <w:r w:rsidRPr="005B62B6">
              <w:t>屏東縣</w:t>
            </w:r>
          </w:p>
        </w:tc>
        <w:tc>
          <w:tcPr>
            <w:tcW w:w="1191" w:type="dxa"/>
            <w:shd w:val="clear" w:color="auto" w:fill="auto"/>
            <w:noWrap/>
            <w:vAlign w:val="center"/>
          </w:tcPr>
          <w:p w:rsidR="00626485" w:rsidRPr="005B62B6" w:rsidRDefault="00626485" w:rsidP="00BD01CC">
            <w:pPr>
              <w:pStyle w:val="120"/>
              <w:jc w:val="center"/>
            </w:pPr>
            <w:r w:rsidRPr="005B62B6">
              <w:t>潮州斷層</w:t>
            </w: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r>
      <w:tr w:rsidR="005B62B6" w:rsidRPr="005B62B6" w:rsidTr="000D05DC">
        <w:trPr>
          <w:cantSplit/>
        </w:trPr>
        <w:tc>
          <w:tcPr>
            <w:tcW w:w="964" w:type="dxa"/>
            <w:vMerge/>
            <w:shd w:val="clear" w:color="auto" w:fill="auto"/>
            <w:noWrap/>
            <w:vAlign w:val="center"/>
          </w:tcPr>
          <w:p w:rsidR="00626485" w:rsidRPr="005B62B6" w:rsidRDefault="00626485" w:rsidP="00BD01CC">
            <w:pPr>
              <w:pStyle w:val="120"/>
              <w:jc w:val="center"/>
            </w:pPr>
          </w:p>
        </w:tc>
        <w:tc>
          <w:tcPr>
            <w:tcW w:w="1191" w:type="dxa"/>
            <w:shd w:val="clear" w:color="auto" w:fill="auto"/>
            <w:noWrap/>
            <w:vAlign w:val="center"/>
          </w:tcPr>
          <w:p w:rsidR="00626485" w:rsidRPr="005B62B6" w:rsidRDefault="00626485" w:rsidP="00BD01CC">
            <w:pPr>
              <w:pStyle w:val="120"/>
              <w:jc w:val="center"/>
            </w:pPr>
            <w:r w:rsidRPr="005B62B6">
              <w:t>恆春斷層</w:t>
            </w: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宜蘭縣</w:t>
            </w:r>
          </w:p>
        </w:tc>
        <w:tc>
          <w:tcPr>
            <w:tcW w:w="1191"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花蓮縣</w:t>
            </w:r>
          </w:p>
        </w:tc>
        <w:tc>
          <w:tcPr>
            <w:tcW w:w="1191" w:type="dxa"/>
            <w:shd w:val="clear" w:color="auto" w:fill="auto"/>
            <w:vAlign w:val="center"/>
            <w:hideMark/>
          </w:tcPr>
          <w:p w:rsidR="00626485" w:rsidRPr="005B62B6" w:rsidRDefault="00626485" w:rsidP="00BD01CC">
            <w:pPr>
              <w:pStyle w:val="120"/>
              <w:jc w:val="center"/>
            </w:pPr>
            <w:r w:rsidRPr="005B62B6">
              <w:t>池上斷層</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567"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vMerge w:val="restart"/>
            <w:shd w:val="clear" w:color="auto" w:fill="auto"/>
            <w:noWrap/>
            <w:vAlign w:val="center"/>
            <w:hideMark/>
          </w:tcPr>
          <w:p w:rsidR="00626485" w:rsidRPr="005B62B6" w:rsidRDefault="00626485" w:rsidP="00BD01CC">
            <w:pPr>
              <w:pStyle w:val="120"/>
              <w:jc w:val="center"/>
            </w:pPr>
            <w:r w:rsidRPr="005B62B6">
              <w:t>臺東縣</w:t>
            </w:r>
          </w:p>
        </w:tc>
        <w:tc>
          <w:tcPr>
            <w:tcW w:w="1191" w:type="dxa"/>
            <w:shd w:val="clear" w:color="auto" w:fill="auto"/>
            <w:noWrap/>
            <w:vAlign w:val="center"/>
            <w:hideMark/>
          </w:tcPr>
          <w:p w:rsidR="00626485" w:rsidRPr="005B62B6" w:rsidRDefault="00626485" w:rsidP="00BD01CC">
            <w:pPr>
              <w:pStyle w:val="120"/>
              <w:jc w:val="center"/>
            </w:pPr>
            <w:r w:rsidRPr="005B62B6">
              <w:t>池上斷層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vMerge/>
            <w:vAlign w:val="center"/>
            <w:hideMark/>
          </w:tcPr>
          <w:p w:rsidR="00626485" w:rsidRPr="005B62B6" w:rsidRDefault="00626485" w:rsidP="00BD01CC">
            <w:pPr>
              <w:pStyle w:val="120"/>
              <w:jc w:val="center"/>
            </w:pPr>
          </w:p>
        </w:tc>
        <w:tc>
          <w:tcPr>
            <w:tcW w:w="1191" w:type="dxa"/>
            <w:shd w:val="clear" w:color="auto" w:fill="auto"/>
            <w:noWrap/>
            <w:vAlign w:val="center"/>
            <w:hideMark/>
          </w:tcPr>
          <w:p w:rsidR="00626485" w:rsidRPr="005B62B6" w:rsidRDefault="00626485" w:rsidP="00BD01CC">
            <w:pPr>
              <w:pStyle w:val="120"/>
              <w:jc w:val="center"/>
            </w:pPr>
            <w:r w:rsidRPr="005B62B6">
              <w:t>利吉斷層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vMerge/>
            <w:vAlign w:val="center"/>
            <w:hideMark/>
          </w:tcPr>
          <w:p w:rsidR="00626485" w:rsidRPr="005B62B6" w:rsidRDefault="00626485" w:rsidP="00BD01CC">
            <w:pPr>
              <w:pStyle w:val="120"/>
              <w:jc w:val="center"/>
            </w:pPr>
          </w:p>
        </w:tc>
        <w:tc>
          <w:tcPr>
            <w:tcW w:w="1191" w:type="dxa"/>
            <w:shd w:val="clear" w:color="auto" w:fill="auto"/>
            <w:noWrap/>
            <w:vAlign w:val="center"/>
            <w:hideMark/>
          </w:tcPr>
          <w:p w:rsidR="00626485" w:rsidRPr="005B62B6" w:rsidRDefault="00626485" w:rsidP="00BD01CC">
            <w:pPr>
              <w:pStyle w:val="120"/>
              <w:jc w:val="center"/>
            </w:pPr>
            <w:r w:rsidRPr="005B62B6">
              <w:t>鹿野斷層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澎湖縣</w:t>
            </w:r>
          </w:p>
        </w:tc>
        <w:tc>
          <w:tcPr>
            <w:tcW w:w="1191" w:type="dxa"/>
            <w:shd w:val="clear" w:color="auto" w:fill="auto"/>
            <w:vAlign w:val="center"/>
            <w:hideMark/>
          </w:tcPr>
          <w:p w:rsidR="00626485" w:rsidRPr="005B62B6" w:rsidRDefault="00626485" w:rsidP="00BD01CC">
            <w:pPr>
              <w:pStyle w:val="120"/>
              <w:jc w:val="center"/>
            </w:pPr>
            <w:r w:rsidRPr="005B62B6">
              <w:t>無斷層</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基隆市</w:t>
            </w:r>
          </w:p>
        </w:tc>
        <w:tc>
          <w:tcPr>
            <w:tcW w:w="1191"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無資料</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新竹市</w:t>
            </w:r>
          </w:p>
        </w:tc>
        <w:tc>
          <w:tcPr>
            <w:tcW w:w="1191" w:type="dxa"/>
            <w:shd w:val="clear" w:color="auto" w:fill="auto"/>
            <w:noWrap/>
            <w:vAlign w:val="center"/>
            <w:hideMark/>
          </w:tcPr>
          <w:p w:rsidR="00626485" w:rsidRPr="005B62B6" w:rsidRDefault="00626485" w:rsidP="00BD01CC">
            <w:pPr>
              <w:pStyle w:val="120"/>
              <w:jc w:val="center"/>
            </w:pPr>
            <w:r w:rsidRPr="005B62B6">
              <w:t>新竹斷層</w:t>
            </w:r>
          </w:p>
        </w:tc>
        <w:tc>
          <w:tcPr>
            <w:tcW w:w="794" w:type="dxa"/>
            <w:shd w:val="clear" w:color="auto" w:fill="auto"/>
            <w:vAlign w:val="center"/>
            <w:hideMark/>
          </w:tcPr>
          <w:p w:rsidR="00626485" w:rsidRPr="005B62B6" w:rsidRDefault="00626485" w:rsidP="00BD01CC">
            <w:pPr>
              <w:pStyle w:val="120"/>
              <w:jc w:val="center"/>
            </w:pPr>
            <w:r w:rsidRPr="005B62B6">
              <w:t>561</w:t>
            </w:r>
          </w:p>
        </w:tc>
        <w:tc>
          <w:tcPr>
            <w:tcW w:w="794" w:type="dxa"/>
            <w:shd w:val="clear" w:color="auto" w:fill="auto"/>
            <w:vAlign w:val="center"/>
            <w:hideMark/>
          </w:tcPr>
          <w:p w:rsidR="00626485" w:rsidRPr="005B62B6" w:rsidRDefault="00626485" w:rsidP="00BD01CC">
            <w:pPr>
              <w:pStyle w:val="120"/>
              <w:jc w:val="center"/>
            </w:pPr>
            <w:r w:rsidRPr="005B62B6">
              <w:t>8,145</w:t>
            </w:r>
          </w:p>
        </w:tc>
        <w:tc>
          <w:tcPr>
            <w:tcW w:w="794" w:type="dxa"/>
            <w:shd w:val="clear" w:color="auto" w:fill="auto"/>
            <w:vAlign w:val="center"/>
            <w:hideMark/>
          </w:tcPr>
          <w:p w:rsidR="00626485" w:rsidRPr="005B62B6" w:rsidRDefault="00626485" w:rsidP="00BD01CC">
            <w:pPr>
              <w:pStyle w:val="120"/>
              <w:jc w:val="center"/>
            </w:pPr>
            <w:r w:rsidRPr="005B62B6">
              <w:t>158</w:t>
            </w:r>
          </w:p>
        </w:tc>
        <w:tc>
          <w:tcPr>
            <w:tcW w:w="794" w:type="dxa"/>
            <w:shd w:val="clear" w:color="auto" w:fill="auto"/>
            <w:vAlign w:val="center"/>
            <w:hideMark/>
          </w:tcPr>
          <w:p w:rsidR="00626485" w:rsidRPr="005B62B6" w:rsidRDefault="00626485" w:rsidP="00BD01CC">
            <w:pPr>
              <w:pStyle w:val="120"/>
              <w:jc w:val="center"/>
            </w:pPr>
            <w:r w:rsidRPr="005B62B6">
              <w:t>-</w:t>
            </w:r>
          </w:p>
        </w:tc>
        <w:tc>
          <w:tcPr>
            <w:tcW w:w="567" w:type="dxa"/>
            <w:shd w:val="clear" w:color="auto" w:fill="auto"/>
            <w:vAlign w:val="center"/>
            <w:hideMark/>
          </w:tcPr>
          <w:p w:rsidR="00626485" w:rsidRPr="005B62B6" w:rsidRDefault="00626485" w:rsidP="00BD01CC">
            <w:pPr>
              <w:pStyle w:val="120"/>
              <w:jc w:val="center"/>
            </w:pPr>
            <w:r w:rsidRPr="005B62B6">
              <w:t>158</w:t>
            </w:r>
          </w:p>
        </w:tc>
        <w:tc>
          <w:tcPr>
            <w:tcW w:w="794"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vAlign w:val="center"/>
            <w:hideMark/>
          </w:tcPr>
          <w:p w:rsidR="00626485" w:rsidRPr="005B62B6" w:rsidRDefault="00626485" w:rsidP="00BD01CC">
            <w:pPr>
              <w:pStyle w:val="120"/>
              <w:jc w:val="center"/>
            </w:pPr>
            <w:r w:rsidRPr="005B62B6">
              <w:t>-</w:t>
            </w:r>
          </w:p>
        </w:tc>
        <w:tc>
          <w:tcPr>
            <w:tcW w:w="567"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嘉義市</w:t>
            </w:r>
            <w:r w:rsidRPr="005B62B6">
              <w:rPr>
                <w:sz w:val="16"/>
                <w:szCs w:val="16"/>
              </w:rPr>
              <w:t>註5</w:t>
            </w:r>
          </w:p>
        </w:tc>
        <w:tc>
          <w:tcPr>
            <w:tcW w:w="1191"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金門縣</w:t>
            </w:r>
          </w:p>
        </w:tc>
        <w:tc>
          <w:tcPr>
            <w:tcW w:w="1191"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連江縣</w:t>
            </w:r>
          </w:p>
        </w:tc>
        <w:tc>
          <w:tcPr>
            <w:tcW w:w="1191"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合計</w:t>
            </w:r>
          </w:p>
        </w:tc>
        <w:tc>
          <w:tcPr>
            <w:tcW w:w="1191"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562</w:t>
            </w:r>
          </w:p>
        </w:tc>
        <w:tc>
          <w:tcPr>
            <w:tcW w:w="794" w:type="dxa"/>
            <w:shd w:val="clear" w:color="auto" w:fill="auto"/>
            <w:noWrap/>
            <w:vAlign w:val="center"/>
            <w:hideMark/>
          </w:tcPr>
          <w:p w:rsidR="00626485" w:rsidRPr="005B62B6" w:rsidRDefault="00626485" w:rsidP="00BD01CC">
            <w:pPr>
              <w:pStyle w:val="120"/>
              <w:jc w:val="center"/>
            </w:pPr>
            <w:r w:rsidRPr="005B62B6">
              <w:t>8,146</w:t>
            </w:r>
          </w:p>
        </w:tc>
        <w:tc>
          <w:tcPr>
            <w:tcW w:w="794" w:type="dxa"/>
            <w:shd w:val="clear" w:color="auto" w:fill="auto"/>
            <w:noWrap/>
            <w:vAlign w:val="center"/>
            <w:hideMark/>
          </w:tcPr>
          <w:p w:rsidR="00626485" w:rsidRPr="005B62B6" w:rsidRDefault="00626485" w:rsidP="00BD01CC">
            <w:pPr>
              <w:pStyle w:val="120"/>
              <w:jc w:val="center"/>
            </w:pPr>
            <w:r w:rsidRPr="005B62B6">
              <w:t>159</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567" w:type="dxa"/>
            <w:shd w:val="clear" w:color="auto" w:fill="auto"/>
            <w:noWrap/>
            <w:vAlign w:val="center"/>
            <w:hideMark/>
          </w:tcPr>
          <w:p w:rsidR="00626485" w:rsidRPr="005B62B6" w:rsidRDefault="00626485" w:rsidP="00BD01CC">
            <w:pPr>
              <w:pStyle w:val="120"/>
              <w:jc w:val="center"/>
            </w:pPr>
            <w:r w:rsidRPr="005B62B6">
              <w:t>159</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bl>
    <w:p w:rsidR="00144949" w:rsidRPr="005B62B6" w:rsidRDefault="00144949" w:rsidP="005B62B6">
      <w:pPr>
        <w:pStyle w:val="120"/>
        <w:spacing w:line="280" w:lineRule="exact"/>
      </w:pPr>
      <w:r w:rsidRPr="005B62B6">
        <w:t>註1：臺北市目前並無活動斷層上列管建築物清冊。</w:t>
      </w:r>
    </w:p>
    <w:p w:rsidR="00144949" w:rsidRPr="005B62B6" w:rsidRDefault="00144949" w:rsidP="005B62B6">
      <w:pPr>
        <w:pStyle w:val="120"/>
        <w:spacing w:line="280" w:lineRule="exact"/>
      </w:pPr>
      <w:r w:rsidRPr="005B62B6">
        <w:t>註2：新北市表示：因無規定距活動斷層兩側之距離，另系統亦無統計數據。</w:t>
      </w:r>
    </w:p>
    <w:p w:rsidR="00144949" w:rsidRPr="005B62B6" w:rsidRDefault="00144949" w:rsidP="005B62B6">
      <w:pPr>
        <w:pStyle w:val="120"/>
        <w:spacing w:line="280" w:lineRule="exact"/>
      </w:pPr>
      <w:r w:rsidRPr="005B62B6">
        <w:t>註3：臺中市目前並無活動斷層上列管建築物清冊。</w:t>
      </w:r>
    </w:p>
    <w:p w:rsidR="00144949" w:rsidRPr="005B62B6" w:rsidRDefault="00144949" w:rsidP="005B62B6">
      <w:pPr>
        <w:pStyle w:val="120"/>
        <w:spacing w:line="280" w:lineRule="exact"/>
        <w:ind w:left="511" w:hangingChars="220" w:hanging="511"/>
      </w:pPr>
      <w:r w:rsidRPr="005B62B6">
        <w:t>註4：苗栗縣表示，71~91年間有諸多執照資料尚未建置至系統，該府尚無訂定活動斷層兩側一定範圍之禁限建規定。</w:t>
      </w:r>
    </w:p>
    <w:p w:rsidR="00144949" w:rsidRPr="005B62B6" w:rsidRDefault="00144949" w:rsidP="005B62B6">
      <w:pPr>
        <w:pStyle w:val="120"/>
        <w:spacing w:line="280" w:lineRule="exact"/>
      </w:pPr>
      <w:r w:rsidRPr="005B62B6">
        <w:t>註5：嘉義市無活動斷層。</w:t>
      </w:r>
    </w:p>
    <w:p w:rsidR="00666616" w:rsidRPr="005B62B6" w:rsidRDefault="00C778F7" w:rsidP="005B62B6">
      <w:pPr>
        <w:pStyle w:val="af5"/>
        <w:spacing w:line="280" w:lineRule="exact"/>
        <w:rPr>
          <w:bCs/>
          <w:kern w:val="32"/>
        </w:rPr>
      </w:pPr>
      <w:r w:rsidRPr="005B62B6">
        <w:t>資料來源：營建署。</w:t>
      </w:r>
    </w:p>
    <w:p w:rsidR="008C786C" w:rsidRPr="005B62B6" w:rsidRDefault="00B0702C" w:rsidP="00F65946">
      <w:pPr>
        <w:pStyle w:val="a0"/>
        <w:pageBreakBefore/>
        <w:numPr>
          <w:ilvl w:val="0"/>
          <w:numId w:val="3"/>
        </w:numPr>
        <w:tabs>
          <w:tab w:val="clear" w:pos="1440"/>
        </w:tabs>
        <w:ind w:left="1361" w:hangingChars="400" w:hanging="1361"/>
        <w:rPr>
          <w:rFonts w:ascii="Times New Roman"/>
          <w:bCs/>
        </w:rPr>
      </w:pPr>
      <w:r w:rsidRPr="005B62B6">
        <w:rPr>
          <w:rFonts w:ascii="Times New Roman"/>
          <w:bCs/>
        </w:rPr>
        <w:lastRenderedPageBreak/>
        <w:t>各</w:t>
      </w:r>
      <w:r w:rsidR="005B62B6" w:rsidRPr="005B62B6">
        <w:rPr>
          <w:rFonts w:hAnsi="標楷體" w:hint="eastAsia"/>
        </w:rPr>
        <w:t>直轄市、縣(市)</w:t>
      </w:r>
      <w:r w:rsidRPr="005B62B6">
        <w:rPr>
          <w:rFonts w:ascii="Times New Roman"/>
          <w:bCs/>
        </w:rPr>
        <w:t>對於重要救災動線兩側之建築物評估、列管及補強之辦理情形統計表</w:t>
      </w:r>
    </w:p>
    <w:tbl>
      <w:tblPr>
        <w:tblW w:w="8843"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1644"/>
        <w:gridCol w:w="1247"/>
        <w:gridCol w:w="1247"/>
        <w:gridCol w:w="1247"/>
        <w:gridCol w:w="1247"/>
        <w:gridCol w:w="1247"/>
      </w:tblGrid>
      <w:tr w:rsidR="005B62B6" w:rsidRPr="005B62B6" w:rsidTr="004808E9">
        <w:trPr>
          <w:cantSplit/>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縣市別</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救災動線</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4808E9">
            <w:pPr>
              <w:pStyle w:val="12"/>
            </w:pPr>
            <w:r w:rsidRPr="005B62B6">
              <w:t>既有建築物數量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4808E9">
            <w:pPr>
              <w:pStyle w:val="12"/>
            </w:pPr>
            <w:r w:rsidRPr="005B62B6">
              <w:t>已辦理評估數量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列管數量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應補強數量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已補強數量</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臺北市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2橫2縱救災動線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7</w:t>
            </w:r>
            <w:r w:rsidR="008D50EC" w:rsidRPr="005B62B6">
              <w:rPr>
                <w:rFonts w:hint="eastAsia"/>
              </w:rPr>
              <w:t>,</w:t>
            </w:r>
            <w:r w:rsidRPr="005B62B6">
              <w:t>256棟</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無列管數量</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新北市</w:t>
            </w:r>
            <w:r w:rsidRPr="005B62B6">
              <w:rPr>
                <w:sz w:val="16"/>
                <w:szCs w:val="16"/>
              </w:rPr>
              <w:t>註1</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桃園市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臺中市</w:t>
            </w:r>
            <w:r w:rsidRPr="005B62B6">
              <w:rPr>
                <w:sz w:val="16"/>
                <w:szCs w:val="16"/>
              </w:rPr>
              <w:t>註2</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臺南市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無公告</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高雄市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新竹縣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苗栗縣</w:t>
            </w:r>
            <w:r w:rsidRPr="005B62B6">
              <w:rPr>
                <w:sz w:val="16"/>
                <w:szCs w:val="16"/>
              </w:rPr>
              <w:t>註3</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彰化縣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南投縣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雲林縣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嘉義縣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屏東縣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宜蘭縣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花蓮縣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r>
      <w:tr w:rsidR="005B62B6" w:rsidRPr="005B62B6" w:rsidTr="00215B27">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臺東縣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215B27">
            <w:pPr>
              <w:pStyle w:val="120"/>
              <w:jc w:val="left"/>
            </w:pPr>
            <w:r w:rsidRPr="005B62B6">
              <w:t>消防局各大隊轄內高危險場所或特定建築物</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D40CDB" w:rsidP="004808E9">
            <w:pPr>
              <w:pStyle w:val="120"/>
              <w:jc w:val="center"/>
            </w:pPr>
            <w:r w:rsidRPr="005B62B6">
              <w:rPr>
                <w:rFonts w:hint="eastAsia"/>
              </w:rPr>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澎湖縣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基隆市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新竹市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嘉義市</w:t>
            </w:r>
            <w:r w:rsidRPr="005B62B6">
              <w:rPr>
                <w:sz w:val="16"/>
                <w:szCs w:val="16"/>
              </w:rPr>
              <w:t>註4</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金門縣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連江縣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無列管案件</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合計</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bl>
    <w:p w:rsidR="00144949" w:rsidRPr="005B62B6" w:rsidRDefault="00144949" w:rsidP="00527E84">
      <w:pPr>
        <w:pStyle w:val="120"/>
      </w:pPr>
      <w:r w:rsidRPr="005B62B6">
        <w:t>註1：新北市政府表示，重要救災動線兩側之建築物，無列管統計數據。</w:t>
      </w:r>
    </w:p>
    <w:p w:rsidR="00144949" w:rsidRPr="005B62B6" w:rsidRDefault="00144949" w:rsidP="00527E84">
      <w:pPr>
        <w:pStyle w:val="120"/>
      </w:pPr>
      <w:r w:rsidRPr="005B62B6">
        <w:t>註2：臺中市並無列管相關救災動線兩側之建築物。</w:t>
      </w:r>
    </w:p>
    <w:p w:rsidR="00144949" w:rsidRPr="005B62B6" w:rsidRDefault="00144949" w:rsidP="00527E84">
      <w:pPr>
        <w:pStyle w:val="120"/>
      </w:pPr>
      <w:r w:rsidRPr="005B62B6">
        <w:t>註3：苗栗縣並無列管相關救災動線兩側之建築物。</w:t>
      </w:r>
    </w:p>
    <w:p w:rsidR="00144949" w:rsidRPr="005B62B6" w:rsidRDefault="00144949" w:rsidP="00527E84">
      <w:pPr>
        <w:pStyle w:val="120"/>
      </w:pPr>
      <w:r w:rsidRPr="005B62B6">
        <w:t>註4：嘉義市無特別規</w:t>
      </w:r>
      <w:r w:rsidR="00666616" w:rsidRPr="005B62B6">
        <w:rPr>
          <w:rFonts w:hint="eastAsia"/>
        </w:rPr>
        <w:t>劃</w:t>
      </w:r>
      <w:r w:rsidRPr="005B62B6">
        <w:t>災動線圖說，暫無列管災動線兩側之建築物。</w:t>
      </w:r>
    </w:p>
    <w:p w:rsidR="008C786C" w:rsidRPr="005B62B6" w:rsidRDefault="00C778F7" w:rsidP="00527E84">
      <w:pPr>
        <w:pStyle w:val="af5"/>
      </w:pPr>
      <w:r w:rsidRPr="005B62B6">
        <w:t>資料來源：營建署。</w:t>
      </w:r>
    </w:p>
    <w:p w:rsidR="008C786C" w:rsidRPr="005B62B6" w:rsidRDefault="00C86265" w:rsidP="009701BB">
      <w:pPr>
        <w:pStyle w:val="a0"/>
        <w:pageBreakBefore/>
        <w:numPr>
          <w:ilvl w:val="0"/>
          <w:numId w:val="3"/>
        </w:numPr>
        <w:tabs>
          <w:tab w:val="clear" w:pos="1440"/>
        </w:tabs>
        <w:ind w:left="1361" w:hangingChars="400" w:hanging="1361"/>
        <w:rPr>
          <w:rFonts w:ascii="Times New Roman"/>
          <w:bCs/>
        </w:rPr>
      </w:pPr>
      <w:r w:rsidRPr="005B62B6">
        <w:rPr>
          <w:rFonts w:ascii="Times New Roman"/>
          <w:bCs/>
        </w:rPr>
        <w:lastRenderedPageBreak/>
        <w:t>各</w:t>
      </w:r>
      <w:r w:rsidR="005B62B6" w:rsidRPr="005B62B6">
        <w:rPr>
          <w:rFonts w:hAnsi="標楷體" w:hint="eastAsia"/>
        </w:rPr>
        <w:t>直轄市、縣(市)</w:t>
      </w:r>
      <w:r w:rsidRPr="005B62B6">
        <w:rPr>
          <w:rFonts w:ascii="Times New Roman"/>
          <w:bCs/>
        </w:rPr>
        <w:t>辦理建築物快篩及後續處理統計表</w:t>
      </w:r>
    </w:p>
    <w:tbl>
      <w:tblPr>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680"/>
        <w:gridCol w:w="794"/>
        <w:gridCol w:w="794"/>
        <w:gridCol w:w="624"/>
        <w:gridCol w:w="680"/>
        <w:gridCol w:w="794"/>
        <w:gridCol w:w="680"/>
        <w:gridCol w:w="794"/>
        <w:gridCol w:w="2041"/>
      </w:tblGrid>
      <w:tr w:rsidR="005B62B6" w:rsidRPr="005B62B6" w:rsidTr="001601AF">
        <w:trPr>
          <w:trHeight w:val="33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9"/>
          <w:p w:rsidR="00F21176" w:rsidRPr="005B62B6" w:rsidRDefault="00F21176" w:rsidP="00335849">
            <w:pPr>
              <w:pStyle w:val="12"/>
            </w:pPr>
            <w:r w:rsidRPr="005B62B6">
              <w:t>縣市別</w:t>
            </w:r>
          </w:p>
        </w:tc>
        <w:tc>
          <w:tcPr>
            <w:tcW w:w="2268" w:type="dxa"/>
            <w:gridSpan w:val="3"/>
            <w:tcBorders>
              <w:top w:val="single" w:sz="4" w:space="0" w:color="auto"/>
              <w:left w:val="nil"/>
              <w:bottom w:val="nil"/>
              <w:right w:val="single" w:sz="4" w:space="0" w:color="000000"/>
            </w:tcBorders>
            <w:shd w:val="clear" w:color="auto" w:fill="auto"/>
            <w:noWrap/>
            <w:vAlign w:val="center"/>
            <w:hideMark/>
          </w:tcPr>
          <w:p w:rsidR="00F21176" w:rsidRPr="005B62B6" w:rsidRDefault="00F21176" w:rsidP="00425E0A">
            <w:pPr>
              <w:pStyle w:val="12"/>
            </w:pPr>
            <w:r w:rsidRPr="005B62B6">
              <w:t>需辦理快篩數量</w:t>
            </w:r>
          </w:p>
        </w:tc>
        <w:tc>
          <w:tcPr>
            <w:tcW w:w="20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176" w:rsidRPr="005B62B6" w:rsidRDefault="00F21176" w:rsidP="00425E0A">
            <w:pPr>
              <w:pStyle w:val="12"/>
            </w:pPr>
            <w:r w:rsidRPr="005B62B6">
              <w:t>完成快篩數量</w:t>
            </w: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快篩結果</w:t>
            </w:r>
          </w:p>
        </w:tc>
        <w:tc>
          <w:tcPr>
            <w:tcW w:w="2041" w:type="dxa"/>
            <w:vMerge w:val="restart"/>
            <w:tcBorders>
              <w:top w:val="single" w:sz="4" w:space="0" w:color="auto"/>
              <w:left w:val="single" w:sz="4" w:space="0" w:color="auto"/>
              <w:right w:val="single" w:sz="4" w:space="0" w:color="auto"/>
            </w:tcBorders>
            <w:shd w:val="clear" w:color="auto" w:fill="auto"/>
            <w:vAlign w:val="center"/>
            <w:hideMark/>
          </w:tcPr>
          <w:p w:rsidR="00F21176" w:rsidRPr="005B62B6" w:rsidRDefault="00F21176" w:rsidP="00425E0A">
            <w:pPr>
              <w:pStyle w:val="12"/>
            </w:pPr>
            <w:r w:rsidRPr="005B62B6">
              <w:t>是否通知所有權人進行耐震評估</w:t>
            </w:r>
            <w:r w:rsidRPr="005B62B6">
              <w:rPr>
                <w:rFonts w:hint="eastAsia"/>
              </w:rPr>
              <w:br/>
              <w:t>(結構初評、詳評)</w:t>
            </w:r>
          </w:p>
        </w:tc>
      </w:tr>
      <w:tr w:rsidR="005B62B6" w:rsidRPr="005B62B6" w:rsidTr="001601AF">
        <w:trPr>
          <w:trHeight w:val="33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F21176" w:rsidRPr="005B62B6" w:rsidRDefault="00F21176" w:rsidP="00335849">
            <w:pPr>
              <w:pStyle w:val="12"/>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棟</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戶</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執照數</w:t>
            </w:r>
          </w:p>
        </w:tc>
        <w:tc>
          <w:tcPr>
            <w:tcW w:w="62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棟</w:t>
            </w:r>
          </w:p>
        </w:tc>
        <w:tc>
          <w:tcPr>
            <w:tcW w:w="680"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戶</w:t>
            </w:r>
          </w:p>
        </w:tc>
        <w:tc>
          <w:tcPr>
            <w:tcW w:w="79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執照數</w:t>
            </w:r>
          </w:p>
        </w:tc>
        <w:tc>
          <w:tcPr>
            <w:tcW w:w="680"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通過</w:t>
            </w:r>
          </w:p>
        </w:tc>
        <w:tc>
          <w:tcPr>
            <w:tcW w:w="79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不通過</w:t>
            </w:r>
          </w:p>
        </w:tc>
        <w:tc>
          <w:tcPr>
            <w:tcW w:w="2041" w:type="dxa"/>
            <w:vMerge/>
            <w:tcBorders>
              <w:left w:val="single" w:sz="4" w:space="0" w:color="auto"/>
              <w:bottom w:val="single" w:sz="4" w:space="0" w:color="auto"/>
              <w:right w:val="single" w:sz="4" w:space="0" w:color="auto"/>
            </w:tcBorders>
            <w:vAlign w:val="center"/>
            <w:hideMark/>
          </w:tcPr>
          <w:p w:rsidR="00F21176" w:rsidRPr="005B62B6" w:rsidRDefault="00F21176"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669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181</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已通知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新北市</w:t>
            </w:r>
            <w:r w:rsidRPr="005B62B6">
              <w:rPr>
                <w:sz w:val="16"/>
                <w:szCs w:val="16"/>
              </w:rPr>
              <w:t>註1</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已通知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桃園市</w:t>
            </w:r>
          </w:p>
        </w:tc>
        <w:tc>
          <w:tcPr>
            <w:tcW w:w="680"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2,500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2,500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605</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1,895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是(將通知結構初評)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臺中市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868</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60,987</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480</w:t>
            </w:r>
          </w:p>
        </w:tc>
        <w:tc>
          <w:tcPr>
            <w:tcW w:w="624"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480</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478</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1,761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304</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546</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是</w:t>
            </w:r>
          </w:p>
          <w:p w:rsidR="00144949" w:rsidRPr="005B62B6" w:rsidRDefault="00144949" w:rsidP="00425E0A">
            <w:pPr>
              <w:pStyle w:val="120"/>
            </w:pPr>
            <w:r w:rsidRPr="005B62B6">
              <w:t>(通知建議辦理初評)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高雄市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2,635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2,635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2,429</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新竹縣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苗栗縣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23</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27</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彰化縣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辦理中</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南投縣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雲林縣</w:t>
            </w:r>
          </w:p>
        </w:tc>
        <w:tc>
          <w:tcPr>
            <w:tcW w:w="680"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24"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嘉義縣</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清查所有權人住址中，另案通知宣導</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屏東縣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440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148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刻正通知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宜蘭縣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64</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已通知10戶</w:t>
            </w:r>
          </w:p>
          <w:p w:rsidR="00144949" w:rsidRPr="005B62B6" w:rsidRDefault="00144949" w:rsidP="00425E0A">
            <w:pPr>
              <w:pStyle w:val="120"/>
            </w:pPr>
            <w:r w:rsidRPr="005B62B6">
              <w:t>(有管委會者)</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花蓮縣</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74</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35</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74</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35</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12</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23</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辦理中</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澎湖縣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rPr>
                <w:sz w:val="20"/>
              </w:rPr>
            </w:pPr>
            <w:r w:rsidRPr="005B62B6">
              <w:rPr>
                <w:sz w:val="20"/>
              </w:rPr>
              <w:t>無辦理</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基隆市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2,461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395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47</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新竹市</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931</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78</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5</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73</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嘉義市</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602</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260</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金門縣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是</w:t>
            </w:r>
          </w:p>
          <w:p w:rsidR="00144949" w:rsidRPr="005B62B6" w:rsidRDefault="00144949" w:rsidP="00425E0A">
            <w:pPr>
              <w:pStyle w:val="120"/>
            </w:pPr>
            <w:r w:rsidRPr="005B62B6">
              <w:t>(通知建議辦理初評)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連江縣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12</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12</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合計</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1,892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67,579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11,337</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974</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8,315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2,191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6,714</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bl>
    <w:p w:rsidR="00144949" w:rsidRPr="005B62B6" w:rsidRDefault="00144949" w:rsidP="00425E0A">
      <w:pPr>
        <w:pStyle w:val="120"/>
      </w:pPr>
      <w:r w:rsidRPr="005B62B6">
        <w:t>註1：新北市表示，本案數量係以執行中央快篩作業(12層樓以上)數量統計。</w:t>
      </w:r>
    </w:p>
    <w:p w:rsidR="000775F8" w:rsidRPr="005B62B6" w:rsidRDefault="00C778F7" w:rsidP="008F5F52">
      <w:pPr>
        <w:pStyle w:val="af5"/>
        <w:rPr>
          <w:sz w:val="28"/>
        </w:rPr>
      </w:pPr>
      <w:r w:rsidRPr="005B62B6">
        <w:rPr>
          <w:rFonts w:hint="eastAsia"/>
        </w:rPr>
        <w:t>資料來源：營建署。</w:t>
      </w:r>
    </w:p>
    <w:p w:rsidR="000775F8" w:rsidRPr="005B62B6" w:rsidRDefault="000775F8" w:rsidP="008F5F52">
      <w:pPr>
        <w:pStyle w:val="a0"/>
        <w:pageBreakBefore/>
        <w:numPr>
          <w:ilvl w:val="0"/>
          <w:numId w:val="3"/>
        </w:numPr>
        <w:tabs>
          <w:tab w:val="clear" w:pos="1440"/>
        </w:tabs>
        <w:ind w:left="697" w:hanging="697"/>
        <w:rPr>
          <w:bCs/>
        </w:rPr>
      </w:pPr>
      <w:r w:rsidRPr="005B62B6">
        <w:rPr>
          <w:rFonts w:hint="eastAsia"/>
          <w:bCs/>
        </w:rPr>
        <w:lastRenderedPageBreak/>
        <w:t>各</w:t>
      </w:r>
      <w:r w:rsidR="005B62B6" w:rsidRPr="005B62B6">
        <w:rPr>
          <w:rFonts w:hAnsi="標楷體" w:hint="eastAsia"/>
        </w:rPr>
        <w:t>直轄市、縣(市)</w:t>
      </w:r>
      <w:r w:rsidRPr="005B62B6">
        <w:rPr>
          <w:rFonts w:hint="eastAsia"/>
          <w:bCs/>
        </w:rPr>
        <w:t>建築物緊急評估人員統計表</w:t>
      </w:r>
    </w:p>
    <w:tbl>
      <w:tblPr>
        <w:tblW w:w="8845" w:type="dxa"/>
        <w:tblInd w:w="42" w:type="dxa"/>
        <w:tblLayout w:type="fixed"/>
        <w:tblCellMar>
          <w:top w:w="28" w:type="dxa"/>
          <w:left w:w="57" w:type="dxa"/>
          <w:bottom w:w="28" w:type="dxa"/>
          <w:right w:w="57" w:type="dxa"/>
        </w:tblCellMar>
        <w:tblLook w:val="04A0" w:firstRow="1" w:lastRow="0" w:firstColumn="1" w:lastColumn="0" w:noHBand="0" w:noVBand="1"/>
      </w:tblPr>
      <w:tblGrid>
        <w:gridCol w:w="1134"/>
        <w:gridCol w:w="963"/>
        <w:gridCol w:w="964"/>
        <w:gridCol w:w="964"/>
        <w:gridCol w:w="964"/>
        <w:gridCol w:w="964"/>
        <w:gridCol w:w="964"/>
        <w:gridCol w:w="964"/>
        <w:gridCol w:w="964"/>
      </w:tblGrid>
      <w:tr w:rsidR="005B62B6" w:rsidRPr="005B62B6" w:rsidTr="007F6E83">
        <w:trPr>
          <w:cantSplit/>
        </w:trPr>
        <w:tc>
          <w:tcPr>
            <w:tcW w:w="1134"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9C4A99">
            <w:pPr>
              <w:pStyle w:val="14"/>
              <w:jc w:val="center"/>
            </w:pPr>
            <w:r w:rsidRPr="005B62B6">
              <w:t>責任區</w:t>
            </w:r>
            <w:r w:rsidRPr="005B62B6">
              <w:rPr>
                <w:rFonts w:hint="eastAsia"/>
              </w:rPr>
              <w:br/>
            </w:r>
            <w:r w:rsidRPr="005B62B6">
              <w:t>縣市別</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建築師(人數)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土木技師(人數)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結構技師(人數)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大地技師(人數)</w:t>
            </w:r>
          </w:p>
        </w:tc>
      </w:tr>
      <w:tr w:rsidR="005B62B6" w:rsidRPr="005B62B6" w:rsidTr="007F6E83">
        <w:trPr>
          <w:cantSplit/>
        </w:trPr>
        <w:tc>
          <w:tcPr>
            <w:tcW w:w="1134" w:type="dxa"/>
            <w:vMerge/>
            <w:tcBorders>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9C4A99">
            <w:pPr>
              <w:pStyle w:val="14"/>
              <w:jc w:val="center"/>
            </w:pP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9C4A99">
            <w:pPr>
              <w:pStyle w:val="14"/>
              <w:jc w:val="center"/>
            </w:pPr>
            <w:r w:rsidRPr="005B62B6">
              <w:rPr>
                <w:rFonts w:ascii="Times New Roman" w:hint="eastAsia"/>
                <w:szCs w:val="28"/>
              </w:rPr>
              <w:t>臺</w:t>
            </w:r>
            <w:r w:rsidR="00BE08A2" w:rsidRPr="005B62B6">
              <w:rPr>
                <w:rFonts w:ascii="Times New Roman"/>
                <w:szCs w:val="28"/>
              </w:rPr>
              <w:t>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高雄市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金門縣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連江縣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基隆市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宜蘭縣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桃園縣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新竹市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新竹縣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苗栗縣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D5579A">
            <w:pPr>
              <w:pStyle w:val="14"/>
              <w:jc w:val="center"/>
            </w:pPr>
            <w:r w:rsidRPr="005B62B6">
              <w:rPr>
                <w:rFonts w:hint="eastAsia"/>
              </w:rPr>
              <w:t>臺</w:t>
            </w:r>
            <w:r w:rsidR="00BE08A2" w:rsidRPr="005B62B6">
              <w:rPr>
                <w:rFonts w:ascii="Times New Roman"/>
                <w:szCs w:val="28"/>
              </w:rPr>
              <w:t>中市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彰化縣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2F634E" w:rsidP="009C4A99">
            <w:pPr>
              <w:pStyle w:val="14"/>
              <w:jc w:val="center"/>
            </w:pPr>
            <w:hyperlink r:id="rId10" w:history="1">
              <w:r w:rsidR="00BE08A2" w:rsidRPr="005B62B6">
                <w:rPr>
                  <w:rStyle w:val="ae"/>
                  <w:rFonts w:ascii="Times New Roman"/>
                  <w:color w:val="auto"/>
                  <w:szCs w:val="28"/>
                  <w:u w:val="none"/>
                </w:rPr>
                <w:t>南投縣</w:t>
              </w:r>
            </w:hyperlink>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雲林縣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嘉義市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嘉義縣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9C4A99">
            <w:pPr>
              <w:pStyle w:val="14"/>
              <w:jc w:val="center"/>
            </w:pPr>
            <w:r w:rsidRPr="005B62B6">
              <w:rPr>
                <w:rFonts w:ascii="Times New Roman" w:hint="eastAsia"/>
                <w:szCs w:val="28"/>
              </w:rPr>
              <w:t>臺</w:t>
            </w:r>
            <w:r w:rsidR="00BE08A2" w:rsidRPr="005B62B6">
              <w:rPr>
                <w:rFonts w:ascii="Times New Roman"/>
                <w:szCs w:val="28"/>
              </w:rPr>
              <w:t>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屏東縣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花蓮縣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F04B7F" w:rsidP="009C4A99">
            <w:pPr>
              <w:pStyle w:val="14"/>
              <w:jc w:val="center"/>
            </w:pPr>
            <w:r w:rsidRPr="005B62B6">
              <w:rPr>
                <w:rFonts w:ascii="Times New Roman" w:hint="eastAsia"/>
                <w:szCs w:val="28"/>
              </w:rPr>
              <w:t>臺</w:t>
            </w:r>
            <w:r w:rsidR="00BE08A2" w:rsidRPr="005B62B6">
              <w:rPr>
                <w:rFonts w:ascii="Times New Roman"/>
                <w:szCs w:val="28"/>
              </w:rPr>
              <w:t>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澎湖縣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E43449">
        <w:trPr>
          <w:cantSplit/>
        </w:trPr>
        <w:tc>
          <w:tcPr>
            <w:tcW w:w="8845"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Mar>
              <w:top w:w="30" w:type="dxa"/>
              <w:left w:w="30" w:type="dxa"/>
              <w:bottom w:w="30" w:type="dxa"/>
              <w:right w:w="30" w:type="dxa"/>
            </w:tcMar>
            <w:vAlign w:val="center"/>
          </w:tcPr>
          <w:p w:rsidR="00BE08A2" w:rsidRPr="005B62B6" w:rsidRDefault="00BE08A2" w:rsidP="00BE08A2">
            <w:pPr>
              <w:pStyle w:val="14"/>
              <w:jc w:val="center"/>
            </w:pPr>
            <w:r w:rsidRPr="005B62B6">
              <w:rPr>
                <w:rFonts w:hint="eastAsia"/>
              </w:rPr>
              <w:t>共計：縣市設定共(1995)人，公會配置共(2033)人</w:t>
            </w:r>
          </w:p>
        </w:tc>
      </w:tr>
    </w:tbl>
    <w:p w:rsidR="008C786C" w:rsidRPr="005B62B6" w:rsidRDefault="00C778F7" w:rsidP="009C4A99">
      <w:pPr>
        <w:pStyle w:val="af5"/>
        <w:ind w:left="1201" w:hangingChars="500" w:hanging="1201"/>
      </w:pPr>
      <w:r w:rsidRPr="005B62B6">
        <w:rPr>
          <w:rFonts w:hint="eastAsia"/>
        </w:rPr>
        <w:t>資料來源：營建署</w:t>
      </w:r>
      <w:r w:rsidR="00144949" w:rsidRPr="005B62B6">
        <w:rPr>
          <w:rFonts w:hint="eastAsia"/>
        </w:rPr>
        <w:t>網站，</w:t>
      </w:r>
      <w:hyperlink r:id="rId11" w:history="1">
        <w:r w:rsidR="00144949" w:rsidRPr="005B62B6">
          <w:rPr>
            <w:rStyle w:val="ae"/>
            <w:color w:val="auto"/>
            <w:szCs w:val="24"/>
          </w:rPr>
          <w:t>http://cpabm-kao.cpami.gov.tw/bmh/dutyare.jsp</w:t>
        </w:r>
      </w:hyperlink>
      <w:r w:rsidR="009C4A99" w:rsidRPr="005B62B6">
        <w:rPr>
          <w:rStyle w:val="ae"/>
          <w:rFonts w:hint="eastAsia"/>
          <w:color w:val="auto"/>
          <w:szCs w:val="24"/>
        </w:rPr>
        <w:br/>
      </w:r>
      <w:r w:rsidR="00144949" w:rsidRPr="005B62B6">
        <w:rPr>
          <w:rFonts w:hint="eastAsia"/>
        </w:rPr>
        <w:t>查詢日期</w:t>
      </w:r>
      <w:r w:rsidR="009C4A99" w:rsidRPr="005B62B6">
        <w:rPr>
          <w:rFonts w:hAnsi="標楷體" w:hint="eastAsia"/>
        </w:rPr>
        <w:t>：</w:t>
      </w:r>
      <w:r w:rsidR="00144949" w:rsidRPr="005B62B6">
        <w:rPr>
          <w:rFonts w:hint="eastAsia"/>
        </w:rPr>
        <w:t>107年10月30日。</w:t>
      </w:r>
    </w:p>
    <w:sectPr w:rsidR="008C786C" w:rsidRPr="005B62B6" w:rsidSect="00C8626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4E" w:rsidRDefault="002F634E">
      <w:r>
        <w:separator/>
      </w:r>
    </w:p>
  </w:endnote>
  <w:endnote w:type="continuationSeparator" w:id="0">
    <w:p w:rsidR="002F634E" w:rsidRDefault="002F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AF" w:rsidRDefault="001601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519AF">
      <w:rPr>
        <w:rStyle w:val="ac"/>
        <w:noProof/>
        <w:sz w:val="24"/>
      </w:rPr>
      <w:t>2</w:t>
    </w:r>
    <w:r>
      <w:rPr>
        <w:rStyle w:val="ac"/>
        <w:sz w:val="24"/>
      </w:rPr>
      <w:fldChar w:fldCharType="end"/>
    </w:r>
  </w:p>
  <w:p w:rsidR="001601AF" w:rsidRDefault="001601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4E" w:rsidRDefault="002F634E">
      <w:r>
        <w:separator/>
      </w:r>
    </w:p>
  </w:footnote>
  <w:footnote w:type="continuationSeparator" w:id="0">
    <w:p w:rsidR="002F634E" w:rsidRDefault="002F634E">
      <w:r>
        <w:continuationSeparator/>
      </w:r>
    </w:p>
  </w:footnote>
  <w:footnote w:id="1">
    <w:p w:rsidR="001601AF" w:rsidRPr="006D264C" w:rsidRDefault="001601AF" w:rsidP="001601AF">
      <w:pPr>
        <w:pStyle w:val="afc"/>
        <w:ind w:left="165" w:hangingChars="75" w:hanging="165"/>
      </w:pPr>
      <w:r w:rsidRPr="006D264C">
        <w:rPr>
          <w:rStyle w:val="afe"/>
        </w:rPr>
        <w:footnoteRef/>
      </w:r>
      <w:r w:rsidRPr="006D264C">
        <w:t xml:space="preserve"> </w:t>
      </w:r>
      <w:r w:rsidRPr="006D264C">
        <w:rPr>
          <w:rFonts w:hAnsi="標楷體" w:hint="eastAsia"/>
        </w:rPr>
        <w:t>《</w:t>
      </w:r>
      <w:r w:rsidRPr="006D264C">
        <w:rPr>
          <w:rFonts w:hint="eastAsia"/>
        </w:rPr>
        <w:t>建築法</w:t>
      </w:r>
      <w:r w:rsidRPr="006D264C">
        <w:rPr>
          <w:rFonts w:hAnsi="標楷體" w:hint="eastAsia"/>
        </w:rPr>
        <w:t>》</w:t>
      </w:r>
      <w:r w:rsidRPr="006D264C">
        <w:rPr>
          <w:rFonts w:hint="eastAsia"/>
        </w:rPr>
        <w:t>第5條</w:t>
      </w:r>
      <w:r w:rsidRPr="006D264C">
        <w:rPr>
          <w:rFonts w:hAnsi="標楷體" w:hint="eastAsia"/>
        </w:rPr>
        <w:t>：</w:t>
      </w:r>
      <w:r w:rsidRPr="006D264C">
        <w:rPr>
          <w:rFonts w:hint="eastAsia"/>
        </w:rPr>
        <w:t>本法所稱供公眾使用之建築物，為供公眾工作、營業、居住、遊覽、娛樂及其他供公眾使用之建築物。</w:t>
      </w:r>
    </w:p>
    <w:p w:rsidR="001601AF" w:rsidRPr="006D264C" w:rsidRDefault="001601AF" w:rsidP="001601AF">
      <w:pPr>
        <w:pStyle w:val="afc"/>
        <w:ind w:leftChars="50" w:left="170"/>
      </w:pPr>
      <w:r w:rsidRPr="006D264C">
        <w:rPr>
          <w:rFonts w:hAnsi="標楷體" w:hint="eastAsia"/>
        </w:rPr>
        <w:t>《</w:t>
      </w:r>
      <w:r w:rsidRPr="006D264C">
        <w:rPr>
          <w:rFonts w:hint="eastAsia"/>
        </w:rPr>
        <w:t>供公眾使用建築物之範圍</w:t>
      </w:r>
      <w:r w:rsidRPr="006D264C">
        <w:rPr>
          <w:rFonts w:hAnsi="標楷體" w:hint="eastAsia"/>
        </w:rPr>
        <w:t>》</w:t>
      </w:r>
      <w:r w:rsidRPr="006D264C">
        <w:rPr>
          <w:rFonts w:hAnsi="標楷體"/>
        </w:rPr>
        <w:br/>
      </w:r>
      <w:r w:rsidRPr="006D264C">
        <w:rPr>
          <w:rFonts w:hint="eastAsia"/>
        </w:rPr>
        <w:t>建築法第5條所稱供公眾使用之建築物，為供公眾工作、營業、居住、遊覽、娛樂、及其他供公眾使用之建築物，其範圍如下；同一建築物供2種以上不同之用途使用時，應依各該使用之樓地板面積按本範圍認定之：……二十、6層以上之集合住宅(公寓)。……</w:t>
      </w:r>
    </w:p>
  </w:footnote>
  <w:footnote w:id="2">
    <w:p w:rsidR="001601AF" w:rsidRPr="006D264C" w:rsidRDefault="001601AF" w:rsidP="001601AF">
      <w:pPr>
        <w:pStyle w:val="afc"/>
        <w:ind w:left="196" w:hangingChars="89" w:hanging="196"/>
        <w:jc w:val="both"/>
      </w:pPr>
      <w:r w:rsidRPr="006D264C">
        <w:rPr>
          <w:rStyle w:val="afe"/>
        </w:rPr>
        <w:footnoteRef/>
      </w:r>
      <w:r w:rsidRPr="006D264C">
        <w:t xml:space="preserve"> </w:t>
      </w:r>
      <w:r w:rsidRPr="006D264C">
        <w:rPr>
          <w:rFonts w:hint="eastAsia"/>
        </w:rPr>
        <w:t>營建署107年4月12日營署建管字第10700237821號及107年5月21日營署建管字第107119763 8號函復、107年6月21日營署建管字第1071224241號函各直轄市、縣市政府並副知本院、107年10月1日營署建管字第1071295377號函更新相關統計資料；地調所107年4月18日經地構字第10700011450號函；經濟部107年5月25日經授地字第10720900130號函，及各函</w:t>
      </w:r>
      <w:r w:rsidRPr="006D264C">
        <w:rPr>
          <w:rFonts w:hint="eastAsia"/>
          <w:spacing w:val="-8"/>
        </w:rPr>
        <w:t>相關附件、簡報、書面說明、本院詢問筆錄及詢問後各該機關補充查復資料。</w:t>
      </w:r>
    </w:p>
  </w:footnote>
  <w:footnote w:id="3">
    <w:p w:rsidR="005B62B6" w:rsidRDefault="005B62B6" w:rsidP="005B62B6">
      <w:pPr>
        <w:pStyle w:val="afc"/>
        <w:ind w:left="165" w:hangingChars="75" w:hanging="165"/>
        <w:rPr>
          <w:rFonts w:hAnsi="標楷體"/>
        </w:rPr>
      </w:pPr>
      <w:r>
        <w:rPr>
          <w:rStyle w:val="afe"/>
        </w:rPr>
        <w:footnoteRef/>
      </w:r>
      <w:r>
        <w:t xml:space="preserve"> </w:t>
      </w:r>
      <w:r>
        <w:rPr>
          <w:rFonts w:hAnsi="標楷體" w:hint="eastAsia"/>
        </w:rPr>
        <w:t>《</w:t>
      </w:r>
      <w:r w:rsidRPr="006A1881">
        <w:rPr>
          <w:rFonts w:hint="eastAsia"/>
        </w:rPr>
        <w:t>建築物實施耐震能力評估及補強方案</w:t>
      </w:r>
      <w:r w:rsidRPr="00272BDB">
        <w:rPr>
          <w:rFonts w:hint="eastAsia"/>
        </w:rPr>
        <w:t>（公有建築物）</w:t>
      </w:r>
      <w:r>
        <w:rPr>
          <w:rFonts w:hAnsi="標楷體" w:hint="eastAsia"/>
        </w:rPr>
        <w:t>》，</w:t>
      </w:r>
      <w:r w:rsidRPr="006A1881">
        <w:rPr>
          <w:rFonts w:hAnsi="標楷體" w:hint="eastAsia"/>
        </w:rPr>
        <w:t>前言</w:t>
      </w:r>
      <w:r>
        <w:rPr>
          <w:rFonts w:hAnsi="標楷體" w:hint="eastAsia"/>
        </w:rPr>
        <w:t>：</w:t>
      </w:r>
      <w:r>
        <w:rPr>
          <w:rFonts w:hAnsi="標楷體"/>
        </w:rPr>
        <w:br/>
      </w:r>
      <w:r>
        <w:rPr>
          <w:rFonts w:hAnsi="標楷體" w:hint="eastAsia"/>
        </w:rPr>
        <w:t>(</w:t>
      </w:r>
      <w:r w:rsidRPr="00272BDB">
        <w:rPr>
          <w:rFonts w:hAnsi="標楷體" w:hint="eastAsia"/>
        </w:rPr>
        <w:t>行政院106年12月28日院臺建字第1060040728號函原則同意</w:t>
      </w:r>
      <w:r>
        <w:rPr>
          <w:rFonts w:hAnsi="標楷體" w:hint="eastAsia"/>
        </w:rPr>
        <w:t>)</w:t>
      </w:r>
    </w:p>
    <w:p w:rsidR="005B62B6" w:rsidRDefault="005B62B6" w:rsidP="005B62B6">
      <w:pPr>
        <w:pStyle w:val="afc"/>
        <w:ind w:leftChars="50" w:left="170"/>
      </w:pPr>
      <w:r>
        <w:rPr>
          <w:rFonts w:hint="eastAsia"/>
        </w:rPr>
        <w:t>我國有關建築物之耐震設計規定，於民國</w:t>
      </w:r>
      <w:r w:rsidRPr="00272BDB">
        <w:rPr>
          <w:rFonts w:hint="eastAsia"/>
          <w:b/>
        </w:rPr>
        <w:t>63年</w:t>
      </w:r>
      <w:r>
        <w:rPr>
          <w:rFonts w:hint="eastAsia"/>
        </w:rPr>
        <w:t>修正發布之建築技術規則建築構造編始有</w:t>
      </w:r>
      <w:r w:rsidRPr="00272BDB">
        <w:rPr>
          <w:rFonts w:hint="eastAsia"/>
          <w:b/>
        </w:rPr>
        <w:t>地震力</w:t>
      </w:r>
      <w:r>
        <w:rPr>
          <w:rFonts w:hint="eastAsia"/>
        </w:rPr>
        <w:t>之規定，地震力之計算除考量建築物之</w:t>
      </w:r>
      <w:r w:rsidRPr="00E67AF4">
        <w:rPr>
          <w:rFonts w:hint="eastAsia"/>
          <w:b/>
        </w:rPr>
        <w:t>載重</w:t>
      </w:r>
      <w:r>
        <w:rPr>
          <w:rFonts w:hint="eastAsia"/>
        </w:rPr>
        <w:t>外並納入不同</w:t>
      </w:r>
      <w:r w:rsidRPr="00E67AF4">
        <w:rPr>
          <w:rFonts w:hint="eastAsia"/>
          <w:b/>
        </w:rPr>
        <w:t>震區</w:t>
      </w:r>
      <w:r>
        <w:rPr>
          <w:rFonts w:hint="eastAsia"/>
        </w:rPr>
        <w:t>分級(強震區、中震區及弱震區)及</w:t>
      </w:r>
      <w:r w:rsidRPr="00E67AF4">
        <w:rPr>
          <w:rFonts w:hint="eastAsia"/>
          <w:b/>
        </w:rPr>
        <w:t>結構系統韌性參數</w:t>
      </w:r>
      <w:r>
        <w:rPr>
          <w:rFonts w:hint="eastAsia"/>
        </w:rPr>
        <w:t>，並依</w:t>
      </w:r>
      <w:r w:rsidRPr="00E67AF4">
        <w:rPr>
          <w:rFonts w:hint="eastAsia"/>
          <w:b/>
        </w:rPr>
        <w:t>建築物高度</w:t>
      </w:r>
      <w:r>
        <w:rPr>
          <w:rFonts w:hint="eastAsia"/>
        </w:rPr>
        <w:t>不同採不同之地震力。民國</w:t>
      </w:r>
      <w:r w:rsidRPr="00E67AF4">
        <w:rPr>
          <w:rFonts w:hint="eastAsia"/>
          <w:b/>
        </w:rPr>
        <w:t>71年6月15日</w:t>
      </w:r>
      <w:r>
        <w:rPr>
          <w:rFonts w:hint="eastAsia"/>
        </w:rPr>
        <w:t>，參考1976年版之美國UBC（Uniform Building Code）耐震規範精神，因應地震力係數之提昇而</w:t>
      </w:r>
      <w:r w:rsidRPr="00E67AF4">
        <w:rPr>
          <w:rFonts w:hint="eastAsia"/>
          <w:b/>
        </w:rPr>
        <w:t>調降各地震區之加速度係數</w:t>
      </w:r>
      <w:r>
        <w:rPr>
          <w:rFonts w:hint="eastAsia"/>
        </w:rPr>
        <w:t>，並針對不同用途之建築物，增列</w:t>
      </w:r>
      <w:r w:rsidRPr="00E67AF4">
        <w:rPr>
          <w:rFonts w:hint="eastAsia"/>
          <w:b/>
        </w:rPr>
        <w:t>用途係數</w:t>
      </w:r>
      <w:r>
        <w:rPr>
          <w:rFonts w:hint="eastAsia"/>
        </w:rPr>
        <w:t>Ｉ，使設計地震力加大。民國</w:t>
      </w:r>
      <w:r w:rsidRPr="00E67AF4">
        <w:rPr>
          <w:rFonts w:hint="eastAsia"/>
          <w:b/>
        </w:rPr>
        <w:t>86年5月1日</w:t>
      </w:r>
      <w:r>
        <w:rPr>
          <w:rFonts w:hint="eastAsia"/>
        </w:rPr>
        <w:t>對地震力之相關規定做了大幅度之修正，將臺灣地區之震區範圍由原3個震區(強震區、中震區及弱震區)分為</w:t>
      </w:r>
      <w:r w:rsidRPr="00E67AF4">
        <w:rPr>
          <w:rFonts w:hint="eastAsia"/>
          <w:b/>
        </w:rPr>
        <w:t>4個震區</w:t>
      </w:r>
      <w:r>
        <w:rPr>
          <w:rFonts w:hint="eastAsia"/>
        </w:rPr>
        <w:t>(地震一甲區、地震一乙區、地震第二區及地震第三區)，地震力之計算增加</w:t>
      </w:r>
      <w:r w:rsidRPr="00E67AF4">
        <w:rPr>
          <w:rFonts w:hint="eastAsia"/>
          <w:b/>
        </w:rPr>
        <w:t>垂直地震力</w:t>
      </w:r>
      <w:r>
        <w:rPr>
          <w:rFonts w:hint="eastAsia"/>
        </w:rPr>
        <w:t>，</w:t>
      </w:r>
      <w:r w:rsidRPr="00E67AF4">
        <w:rPr>
          <w:rFonts w:hint="eastAsia"/>
          <w:b/>
        </w:rPr>
        <w:t>動力分析</w:t>
      </w:r>
      <w:r>
        <w:rPr>
          <w:rFonts w:hint="eastAsia"/>
        </w:rPr>
        <w:t>及檢核</w:t>
      </w:r>
      <w:r w:rsidRPr="00E67AF4">
        <w:rPr>
          <w:rFonts w:hint="eastAsia"/>
          <w:b/>
        </w:rPr>
        <w:t>極限層剪力強度</w:t>
      </w:r>
      <w:r>
        <w:rPr>
          <w:rFonts w:hint="eastAsia"/>
        </w:rPr>
        <w:t>之要求，考量建築基地</w:t>
      </w:r>
      <w:r w:rsidRPr="00E67AF4">
        <w:rPr>
          <w:rFonts w:hint="eastAsia"/>
          <w:b/>
        </w:rPr>
        <w:t>土壤液化</w:t>
      </w:r>
      <w:r>
        <w:rPr>
          <w:rFonts w:hint="eastAsia"/>
        </w:rPr>
        <w:t>之影響，使用隔減震系統之原則等，並訂定「</w:t>
      </w:r>
      <w:r w:rsidRPr="00817ED9">
        <w:rPr>
          <w:rFonts w:hint="eastAsia"/>
          <w:b/>
        </w:rPr>
        <w:t>建築物耐震設計規範及解說</w:t>
      </w:r>
      <w:r>
        <w:rPr>
          <w:rFonts w:hint="eastAsia"/>
        </w:rPr>
        <w:t>」。民國</w:t>
      </w:r>
      <w:r w:rsidRPr="00817ED9">
        <w:rPr>
          <w:rFonts w:hint="eastAsia"/>
          <w:b/>
        </w:rPr>
        <w:t>88年12月29日</w:t>
      </w:r>
      <w:r>
        <w:rPr>
          <w:rFonts w:hint="eastAsia"/>
        </w:rPr>
        <w:t>修正建築物耐震設計規範及解說有關「</w:t>
      </w:r>
      <w:r w:rsidRPr="00817ED9">
        <w:rPr>
          <w:rFonts w:hint="eastAsia"/>
          <w:b/>
        </w:rPr>
        <w:t>震區水平加速度係數</w:t>
      </w:r>
      <w:r>
        <w:rPr>
          <w:rFonts w:hint="eastAsia"/>
        </w:rPr>
        <w:t>」、「</w:t>
      </w:r>
      <w:r w:rsidRPr="00817ED9">
        <w:rPr>
          <w:rFonts w:hint="eastAsia"/>
          <w:b/>
        </w:rPr>
        <w:t>各類地盤水平向正規化加速度反應譜係數與週期之關係</w:t>
      </w:r>
      <w:r>
        <w:rPr>
          <w:rFonts w:hint="eastAsia"/>
        </w:rPr>
        <w:t>」、及「</w:t>
      </w:r>
      <w:r w:rsidRPr="00817ED9">
        <w:rPr>
          <w:rFonts w:hint="eastAsia"/>
          <w:b/>
        </w:rPr>
        <w:t>垂直地震力</w:t>
      </w:r>
      <w:r>
        <w:rPr>
          <w:rFonts w:hint="eastAsia"/>
        </w:rPr>
        <w:t>」等規定與解說，以及臺灣地區震區劃分</w:t>
      </w:r>
      <w:r>
        <w:t>(</w:t>
      </w:r>
      <w:r>
        <w:rPr>
          <w:rFonts w:hint="eastAsia"/>
        </w:rPr>
        <w:t>臺灣地區之震區劃分由</w:t>
      </w:r>
      <w:r w:rsidRPr="00817ED9">
        <w:rPr>
          <w:rFonts w:hint="eastAsia"/>
          <w:b/>
        </w:rPr>
        <w:t>4個震區修正為2個震區</w:t>
      </w:r>
      <w:r>
        <w:rPr>
          <w:rFonts w:hint="eastAsia"/>
        </w:rPr>
        <w:t>：地震甲區及地震乙區</w:t>
      </w:r>
      <w:r>
        <w:t>)</w:t>
      </w:r>
      <w:r>
        <w:rPr>
          <w:rFonts w:hint="eastAsia"/>
        </w:rPr>
        <w:t>、</w:t>
      </w:r>
      <w:r w:rsidRPr="00817ED9">
        <w:rPr>
          <w:rFonts w:hint="eastAsia"/>
          <w:b/>
        </w:rPr>
        <w:t>工址加速度係數</w:t>
      </w:r>
      <w:r>
        <w:rPr>
          <w:rFonts w:hint="eastAsia"/>
        </w:rPr>
        <w:t>及</w:t>
      </w:r>
      <w:r w:rsidRPr="00817ED9">
        <w:rPr>
          <w:rFonts w:hint="eastAsia"/>
          <w:b/>
        </w:rPr>
        <w:t>各種地盤平均加速度反應譜</w:t>
      </w:r>
      <w:r>
        <w:rPr>
          <w:rFonts w:hint="eastAsia"/>
        </w:rPr>
        <w:t>等。</w:t>
      </w:r>
    </w:p>
    <w:p w:rsidR="005B62B6" w:rsidRDefault="005B62B6" w:rsidP="005B62B6">
      <w:pPr>
        <w:pStyle w:val="afc"/>
        <w:ind w:leftChars="50" w:left="170"/>
      </w:pPr>
      <w:r>
        <w:rPr>
          <w:rFonts w:hint="eastAsia"/>
        </w:rPr>
        <w:t>民國</w:t>
      </w:r>
      <w:r w:rsidRPr="00FF0503">
        <w:rPr>
          <w:rFonts w:hint="eastAsia"/>
          <w:b/>
        </w:rPr>
        <w:t>93年12月14日</w:t>
      </w:r>
      <w:r>
        <w:rPr>
          <w:rFonts w:hint="eastAsia"/>
        </w:rPr>
        <w:t>修正建築技術規則建築構造編與建築物耐震設計規範及解說，依</w:t>
      </w:r>
      <w:r w:rsidRPr="00FF0503">
        <w:rPr>
          <w:rFonts w:hint="eastAsia"/>
          <w:b/>
        </w:rPr>
        <w:t>地震危害度</w:t>
      </w:r>
      <w:r>
        <w:rPr>
          <w:rFonts w:hint="eastAsia"/>
        </w:rPr>
        <w:t>分析決定加速度係數，將</w:t>
      </w:r>
      <w:r w:rsidRPr="00FF0503">
        <w:rPr>
          <w:rFonts w:hint="eastAsia"/>
          <w:b/>
        </w:rPr>
        <w:t>震區改成現行之微分區</w:t>
      </w:r>
      <w:r>
        <w:rPr>
          <w:rFonts w:hint="eastAsia"/>
        </w:rPr>
        <w:t>，並考量</w:t>
      </w:r>
      <w:r w:rsidRPr="00FF0503">
        <w:rPr>
          <w:rFonts w:hint="eastAsia"/>
          <w:b/>
        </w:rPr>
        <w:t>近斷層效應</w:t>
      </w:r>
      <w:r>
        <w:rPr>
          <w:rFonts w:hint="eastAsia"/>
        </w:rPr>
        <w:t>、大地震下建築物不得崩塌之設計、隔減震及被動消能系統之應用等</w:t>
      </w:r>
      <w:r>
        <w:t>(94</w:t>
      </w:r>
      <w:r>
        <w:rPr>
          <w:rFonts w:hint="eastAsia"/>
        </w:rPr>
        <w:t>年</w:t>
      </w:r>
      <w:r>
        <w:t>7</w:t>
      </w:r>
      <w:r>
        <w:rPr>
          <w:rFonts w:hint="eastAsia"/>
        </w:rPr>
        <w:t>月</w:t>
      </w:r>
      <w:r>
        <w:t>1</w:t>
      </w:r>
      <w:r>
        <w:rPr>
          <w:rFonts w:hint="eastAsia"/>
        </w:rPr>
        <w:t>日生效)。民國</w:t>
      </w:r>
      <w:r w:rsidRPr="00FF0503">
        <w:rPr>
          <w:rFonts w:hint="eastAsia"/>
          <w:b/>
        </w:rPr>
        <w:t>100年7月1日</w:t>
      </w:r>
      <w:r>
        <w:rPr>
          <w:rFonts w:hint="eastAsia"/>
        </w:rPr>
        <w:t>再次修正規範，酌予調整</w:t>
      </w:r>
      <w:r w:rsidRPr="00FF0503">
        <w:rPr>
          <w:rFonts w:hint="eastAsia"/>
          <w:b/>
        </w:rPr>
        <w:t>臺北盆地微分區</w:t>
      </w:r>
      <w:r>
        <w:rPr>
          <w:rFonts w:hint="eastAsia"/>
        </w:rPr>
        <w:t>，原4分區調整為3分區，並修正隔震設計相關規定。……</w:t>
      </w:r>
    </w:p>
  </w:footnote>
  <w:footnote w:id="4">
    <w:p w:rsidR="005B62B6" w:rsidRPr="00D95A2D" w:rsidRDefault="005B62B6" w:rsidP="005B62B6">
      <w:pPr>
        <w:pStyle w:val="afc"/>
      </w:pPr>
      <w:r>
        <w:rPr>
          <w:rStyle w:val="afe"/>
        </w:rPr>
        <w:footnoteRef/>
      </w:r>
      <w:r>
        <w:t xml:space="preserve"> </w:t>
      </w:r>
      <w:r>
        <w:rPr>
          <w:rFonts w:hint="eastAsia"/>
        </w:rPr>
        <w:t>營建署107年3月1日營署管字第1071140001號函。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73CB5"/>
    <w:rsid w:val="0007425C"/>
    <w:rsid w:val="00077553"/>
    <w:rsid w:val="000775F8"/>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57A2"/>
    <w:rsid w:val="00236ECB"/>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34E"/>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701B9"/>
    <w:rsid w:val="003708BD"/>
    <w:rsid w:val="0037094A"/>
    <w:rsid w:val="00370AFC"/>
    <w:rsid w:val="00371510"/>
    <w:rsid w:val="00371ED3"/>
    <w:rsid w:val="00372FFC"/>
    <w:rsid w:val="003733F4"/>
    <w:rsid w:val="00373497"/>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A05A2"/>
    <w:rsid w:val="005A11D0"/>
    <w:rsid w:val="005A3E06"/>
    <w:rsid w:val="005A43C8"/>
    <w:rsid w:val="005A6DD2"/>
    <w:rsid w:val="005A770C"/>
    <w:rsid w:val="005B2111"/>
    <w:rsid w:val="005B24BE"/>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2ADC"/>
    <w:rsid w:val="005F33A6"/>
    <w:rsid w:val="005F4ED5"/>
    <w:rsid w:val="005F529E"/>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492F"/>
    <w:rsid w:val="006D6ABB"/>
    <w:rsid w:val="006D7451"/>
    <w:rsid w:val="006D784E"/>
    <w:rsid w:val="006E1D36"/>
    <w:rsid w:val="006E1EFE"/>
    <w:rsid w:val="006E2C31"/>
    <w:rsid w:val="006E5555"/>
    <w:rsid w:val="006E5EF0"/>
    <w:rsid w:val="006E6D53"/>
    <w:rsid w:val="006F24FA"/>
    <w:rsid w:val="006F3563"/>
    <w:rsid w:val="006F42B9"/>
    <w:rsid w:val="006F443C"/>
    <w:rsid w:val="006F4D07"/>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6333"/>
    <w:rsid w:val="00826EF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F0B"/>
    <w:rsid w:val="0090327D"/>
    <w:rsid w:val="00903CCB"/>
    <w:rsid w:val="00905650"/>
    <w:rsid w:val="009079DE"/>
    <w:rsid w:val="00907BA7"/>
    <w:rsid w:val="0091064E"/>
    <w:rsid w:val="00911FC5"/>
    <w:rsid w:val="00913EE0"/>
    <w:rsid w:val="00917C5A"/>
    <w:rsid w:val="0092247A"/>
    <w:rsid w:val="00923FED"/>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2F76"/>
    <w:rsid w:val="00A438D8"/>
    <w:rsid w:val="00A43D62"/>
    <w:rsid w:val="00A44E69"/>
    <w:rsid w:val="00A46B2E"/>
    <w:rsid w:val="00A473F5"/>
    <w:rsid w:val="00A47C1F"/>
    <w:rsid w:val="00A50182"/>
    <w:rsid w:val="00A50C7A"/>
    <w:rsid w:val="00A5170A"/>
    <w:rsid w:val="00A519AF"/>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E68"/>
    <w:rsid w:val="00A97B15"/>
    <w:rsid w:val="00AA0837"/>
    <w:rsid w:val="00AA1C91"/>
    <w:rsid w:val="00AA2E56"/>
    <w:rsid w:val="00AA2FBA"/>
    <w:rsid w:val="00AA42D5"/>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7341"/>
    <w:rsid w:val="00C20404"/>
    <w:rsid w:val="00C207C8"/>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123C"/>
    <w:rsid w:val="00C61528"/>
    <w:rsid w:val="00C6311A"/>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A0059"/>
    <w:rsid w:val="00CA02D9"/>
    <w:rsid w:val="00CA1C6F"/>
    <w:rsid w:val="00CA3A32"/>
    <w:rsid w:val="00CA4EE3"/>
    <w:rsid w:val="00CB024C"/>
    <w:rsid w:val="00CB027F"/>
    <w:rsid w:val="00CB0E0F"/>
    <w:rsid w:val="00CB3802"/>
    <w:rsid w:val="00CB3DA2"/>
    <w:rsid w:val="00CC0EBB"/>
    <w:rsid w:val="00CC16F7"/>
    <w:rsid w:val="00CC2242"/>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5DB"/>
    <w:rsid w:val="00CF5850"/>
    <w:rsid w:val="00CF58EB"/>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919"/>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95C"/>
    <w:rsid w:val="00F467B7"/>
    <w:rsid w:val="00F46A85"/>
    <w:rsid w:val="00F50EAC"/>
    <w:rsid w:val="00F514FB"/>
    <w:rsid w:val="00F5177C"/>
    <w:rsid w:val="00F518DF"/>
    <w:rsid w:val="00F5199E"/>
    <w:rsid w:val="00F52CAC"/>
    <w:rsid w:val="00F5314C"/>
    <w:rsid w:val="00F53A3B"/>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37E4"/>
    <w:rsid w:val="00F94C73"/>
    <w:rsid w:val="00F9543B"/>
    <w:rsid w:val="00F955D8"/>
    <w:rsid w:val="00F95EE7"/>
    <w:rsid w:val="00FA0313"/>
    <w:rsid w:val="00FA0D87"/>
    <w:rsid w:val="00FA0FA0"/>
    <w:rsid w:val="00FA21E9"/>
    <w:rsid w:val="00FA309F"/>
    <w:rsid w:val="00FA39E6"/>
    <w:rsid w:val="00FA4E1E"/>
    <w:rsid w:val="00FA529D"/>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503"/>
    <w:rsid w:val="00FF1620"/>
    <w:rsid w:val="00FF18FC"/>
    <w:rsid w:val="00FF2C09"/>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0892B5-496E-407E-B0F4-C3B733E9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6310B8"/>
    <w:pPr>
      <w:snapToGrid w:val="0"/>
      <w:jc w:val="left"/>
    </w:pPr>
    <w:rPr>
      <w:sz w:val="20"/>
    </w:rPr>
  </w:style>
  <w:style w:type="character" w:customStyle="1" w:styleId="afd">
    <w:name w:val="註腳文字 字元"/>
    <w:basedOn w:val="a7"/>
    <w:link w:val="afc"/>
    <w:uiPriority w:val="99"/>
    <w:rsid w:val="006310B8"/>
    <w:rPr>
      <w:rFonts w:ascii="標楷體" w:eastAsia="標楷體"/>
      <w:kern w:val="2"/>
    </w:rPr>
  </w:style>
  <w:style w:type="character" w:styleId="afe">
    <w:name w:val="footnote reference"/>
    <w:basedOn w:val="a7"/>
    <w:uiPriority w:val="99"/>
    <w:semiHidden/>
    <w:unhideWhenUsed/>
    <w:rsid w:val="006310B8"/>
    <w:rPr>
      <w:vertAlign w:val="superscript"/>
    </w:rPr>
  </w:style>
  <w:style w:type="character" w:styleId="aff">
    <w:name w:val="FollowedHyperlink"/>
    <w:basedOn w:val="a7"/>
    <w:uiPriority w:val="99"/>
    <w:semiHidden/>
    <w:unhideWhenUsed/>
    <w:rsid w:val="00144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pabm-kao.cpami.gov.tw/bmh/dutyare.jsp" TargetMode="External"/><Relationship Id="rId5" Type="http://schemas.openxmlformats.org/officeDocument/2006/relationships/settings" Target="settings.xml"/><Relationship Id="rId10" Type="http://schemas.openxmlformats.org/officeDocument/2006/relationships/hyperlink" Target="http://cpabm-kao.cpami.gov.tw/bmh/dutyare2.jsp?idanare=IB0" TargetMode="Externa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5408-55B5-40EA-B8A6-4CF900F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23</Pages>
  <Words>2434</Words>
  <Characters>13878</Characters>
  <Application>Microsoft Office Word</Application>
  <DocSecurity>0</DocSecurity>
  <Lines>115</Lines>
  <Paragraphs>32</Paragraphs>
  <ScaleCrop>false</ScaleCrop>
  <Company>cy</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謝琦瑛</cp:lastModifiedBy>
  <cp:revision>2</cp:revision>
  <cp:lastPrinted>2018-11-06T03:34:00Z</cp:lastPrinted>
  <dcterms:created xsi:type="dcterms:W3CDTF">2018-12-07T03:33:00Z</dcterms:created>
  <dcterms:modified xsi:type="dcterms:W3CDTF">2018-12-07T03:33:00Z</dcterms:modified>
</cp:coreProperties>
</file>